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926930.xml.htm"/>
      <w:bookmarkStart w:id="1" w:name="kswkform4_17779269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FOLETTA MARK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OLYMPUS BOULEVARD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AMN HEALTHCARE SERVICES INC</w:t>
              </w:r>
            </w:hyperlink>
            <w:r>
              <w:rPr/>
              <w:t xml:space="preserve"> [ </w:t>
            </w:r>
            <w:r>
              <w:rPr>
                <w:rFonts w:ascii="Times;serif" w:hAnsi="Times;serif"/>
                <w:color w:val="0000FF"/>
                <w:sz w:val="24"/>
                <w:shd w:fill="FFFFFF" w:val="clear"/>
              </w:rPr>
              <w:t>AMN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AMN Common Stock acquired on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were granted pursuant to the AMN Healthcare 2017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identified in this row were granted on May 2, 2025 and vest on the earlier of (i) the one year anniversary of the grant date, or (ii) the date of the Company's Annual Meeting of Shareholders in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were granted pursuant to the AMN Healthcare 2025 Equity Plan. Each RSU represents a contingent right to receive one share of AMN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identified in this row were granted on May 1, 2026 and vest on the earlier of (i) the one year anniversary of the grant date, or (ii) the date of the Company's Annual Meeting of Shareholders in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Whitney M. Laughlin, as attorney-in-fact on behalf of Mark G. Foletta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389" TargetMode="External"/><Relationship Id="rId5" Type="http://schemas.openxmlformats.org/officeDocument/2006/relationships/hyperlink" Target="http://www.sec.gov/cgi-bin/browse-edgar?action=getcompany&amp;CIK=00011427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3907</Characters>
  <CharactersWithSpaces>4579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