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926884.xml.htm"/>
      <w:bookmarkStart w:id="1" w:name="kswkform4_17779268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Caballero Jorge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OLYMPUS BLVD.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AMN HEALTHCARE SERVICES INC</w:t>
              </w:r>
            </w:hyperlink>
            <w:r>
              <w:rPr/>
              <w:t xml:space="preserve"> [ </w:t>
            </w:r>
            <w:r>
              <w:rPr>
                <w:rFonts w:ascii="Times;serif" w:hAnsi="Times;serif"/>
                <w:color w:val="0000FF"/>
                <w:sz w:val="24"/>
                <w:shd w:fill="FFFFFF" w:val="clear"/>
              </w:rPr>
              <w:t>AMN</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15,462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8,304</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AMN Common Stock acquired on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were granted pursuant to the AMN Healthcare 2017 Equity Plan. Each RSU represents a contingent right to receive one share of AMN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identified in this row were granted on May 2, 2025 and vest on the earlier of (i) the one year anniversary of the grant date, or (ii) the date of the Company's Annual Meeting of Shareholders in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were granted pursuant to the AMN Healthcare 2025 Equity Plan. Each RSU represents a contingent right to receive one share of AMN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identified in this row were granted on May 1, 2026 and vest on the earlier of (i) the one year anniversary of the grant date, or (ii) the date of the Company's Annual Meeting of Shareholders in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Whitney M. Laughlin, as attorney-in-fact on behalf of Jorge A. Caballero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9928" TargetMode="External"/><Relationship Id="rId5" Type="http://schemas.openxmlformats.org/officeDocument/2006/relationships/hyperlink" Target="http://www.sec.gov/cgi-bin/browse-edgar?action=getcompany&amp;CIK=00011427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3911</Characters>
  <CharactersWithSpaces>4583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