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UNITED STATES</w:t>
      </w:r>
    </w:p>
    <w:p>
      <w:pPr>
        <w:jc w:val="center"/>
        <w:ind w:right="-59"/>
        <w:spacing w:after="0" w:line="197" w:lineRule="auto"/>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line="200" w:lineRule="auto"/>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18"/>
          <w:szCs w:val="18"/>
          <w:color w:val="auto"/>
        </w:rPr>
        <w:t>____________________</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ind w:left="4680"/>
        <w:spacing w:after="0"/>
        <w:rPr>
          <w:sz w:val="20"/>
          <w:szCs w:val="20"/>
          <w:color w:val="auto"/>
        </w:rPr>
      </w:pPr>
      <w:r>
        <w:rPr>
          <w:rFonts w:ascii="Arial" w:cs="Arial" w:eastAsia="Arial" w:hAnsi="Arial"/>
          <w:sz w:val="18"/>
          <w:szCs w:val="18"/>
          <w:color w:val="auto"/>
        </w:rPr>
        <w:t>_____________________</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jc w:val="center"/>
        <w:ind w:right="-59"/>
        <w:spacing w:after="0" w:line="197" w:lineRule="auto"/>
        <w:rPr>
          <w:sz w:val="20"/>
          <w:szCs w:val="20"/>
          <w:color w:val="auto"/>
        </w:rPr>
      </w:pPr>
      <w:r>
        <w:rPr>
          <w:rFonts w:ascii="Arial" w:cs="Arial" w:eastAsia="Arial" w:hAnsi="Arial"/>
          <w:sz w:val="20"/>
          <w:szCs w:val="20"/>
          <w:b w:val="1"/>
          <w:bCs w:val="1"/>
          <w:color w:val="auto"/>
        </w:rPr>
        <w:t>PURSUANT TO SECTION 13 OR 15(D)</w:t>
      </w:r>
    </w:p>
    <w:p>
      <w:pPr>
        <w:jc w:val="center"/>
        <w:ind w:right="-5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17"/>
          <w:szCs w:val="17"/>
          <w:color w:val="auto"/>
        </w:rPr>
        <w:t>May 6, 2022</w:t>
      </w: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AMN HEALTHCARE SERVICES, INC.</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Charter)</w:t>
      </w:r>
    </w:p>
    <w:p>
      <w:pPr>
        <w:spacing w:after="0" w:line="90"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2620" w:type="dxa"/>
            <w:vAlign w:val="bottom"/>
          </w:tcPr>
          <w:p>
            <w:pPr>
              <w:jc w:val="center"/>
              <w:ind w:right="161"/>
              <w:spacing w:after="0"/>
              <w:rPr>
                <w:sz w:val="20"/>
                <w:szCs w:val="20"/>
                <w:color w:val="auto"/>
              </w:rPr>
            </w:pPr>
            <w:r>
              <w:rPr>
                <w:rFonts w:ascii="Arial" w:cs="Arial" w:eastAsia="Arial" w:hAnsi="Arial"/>
                <w:sz w:val="20"/>
                <w:szCs w:val="20"/>
                <w:b w:val="1"/>
                <w:bCs w:val="1"/>
                <w:color w:val="auto"/>
                <w:w w:val="91"/>
              </w:rPr>
              <w:t>Delaware</w:t>
            </w:r>
          </w:p>
        </w:tc>
        <w:tc>
          <w:tcPr>
            <w:tcW w:w="4160" w:type="dxa"/>
            <w:vAlign w:val="bottom"/>
          </w:tcPr>
          <w:p>
            <w:pPr>
              <w:jc w:val="right"/>
              <w:ind w:right="1841"/>
              <w:spacing w:after="0"/>
              <w:rPr>
                <w:sz w:val="20"/>
                <w:szCs w:val="20"/>
                <w:color w:val="auto"/>
              </w:rPr>
            </w:pPr>
            <w:r>
              <w:rPr>
                <w:rFonts w:ascii="Arial" w:cs="Arial" w:eastAsia="Arial" w:hAnsi="Arial"/>
                <w:sz w:val="20"/>
                <w:szCs w:val="20"/>
                <w:b w:val="1"/>
                <w:bCs w:val="1"/>
                <w:color w:val="auto"/>
              </w:rPr>
              <w:t>001-16753</w:t>
            </w:r>
          </w:p>
        </w:tc>
        <w:tc>
          <w:tcPr>
            <w:tcW w:w="1820" w:type="dxa"/>
            <w:vAlign w:val="bottom"/>
          </w:tcPr>
          <w:p>
            <w:pPr>
              <w:jc w:val="center"/>
              <w:ind w:left="261"/>
              <w:spacing w:after="0"/>
              <w:rPr>
                <w:sz w:val="20"/>
                <w:szCs w:val="20"/>
                <w:color w:val="auto"/>
              </w:rPr>
            </w:pPr>
            <w:r>
              <w:rPr>
                <w:rFonts w:ascii="Arial" w:cs="Arial" w:eastAsia="Arial" w:hAnsi="Arial"/>
                <w:sz w:val="20"/>
                <w:szCs w:val="20"/>
                <w:b w:val="1"/>
                <w:bCs w:val="1"/>
                <w:color w:val="auto"/>
                <w:w w:val="88"/>
              </w:rPr>
              <w:t>06-1500476</w:t>
            </w:r>
          </w:p>
        </w:tc>
        <w:tc>
          <w:tcPr>
            <w:tcW w:w="0" w:type="dxa"/>
            <w:vAlign w:val="bottom"/>
          </w:tcPr>
          <w:p>
            <w:pPr>
              <w:spacing w:after="0"/>
              <w:rPr>
                <w:sz w:val="1"/>
                <w:szCs w:val="1"/>
                <w:color w:val="auto"/>
              </w:rPr>
            </w:pPr>
          </w:p>
        </w:tc>
      </w:tr>
      <w:tr>
        <w:trPr>
          <w:trHeight w:val="239"/>
        </w:trPr>
        <w:tc>
          <w:tcPr>
            <w:tcW w:w="2620" w:type="dxa"/>
            <w:vAlign w:val="bottom"/>
          </w:tcPr>
          <w:p>
            <w:pPr>
              <w:jc w:val="center"/>
              <w:ind w:right="161"/>
              <w:spacing w:after="0"/>
              <w:rPr>
                <w:sz w:val="20"/>
                <w:szCs w:val="20"/>
                <w:color w:val="auto"/>
              </w:rPr>
            </w:pPr>
            <w:r>
              <w:rPr>
                <w:rFonts w:ascii="Arial" w:cs="Arial" w:eastAsia="Arial" w:hAnsi="Arial"/>
                <w:sz w:val="20"/>
                <w:szCs w:val="20"/>
                <w:color w:val="auto"/>
                <w:w w:val="90"/>
              </w:rPr>
              <w:t>(State or Other Jurisdiction of</w:t>
            </w:r>
          </w:p>
        </w:tc>
        <w:tc>
          <w:tcPr>
            <w:tcW w:w="4160" w:type="dxa"/>
            <w:vAlign w:val="bottom"/>
            <w:vMerge w:val="restart"/>
          </w:tcPr>
          <w:p>
            <w:pPr>
              <w:jc w:val="center"/>
              <w:ind w:right="481"/>
              <w:spacing w:after="0"/>
              <w:rPr>
                <w:sz w:val="20"/>
                <w:szCs w:val="20"/>
                <w:color w:val="auto"/>
              </w:rPr>
            </w:pPr>
            <w:r>
              <w:rPr>
                <w:rFonts w:ascii="Arial" w:cs="Arial" w:eastAsia="Arial" w:hAnsi="Arial"/>
                <w:sz w:val="20"/>
                <w:szCs w:val="20"/>
                <w:color w:val="auto"/>
                <w:w w:val="91"/>
              </w:rPr>
              <w:t>(Commission File Number)</w:t>
            </w:r>
          </w:p>
        </w:tc>
        <w:tc>
          <w:tcPr>
            <w:tcW w:w="1820" w:type="dxa"/>
            <w:vAlign w:val="bottom"/>
          </w:tcPr>
          <w:p>
            <w:pPr>
              <w:jc w:val="center"/>
              <w:ind w:left="261"/>
              <w:spacing w:after="0"/>
              <w:rPr>
                <w:sz w:val="20"/>
                <w:szCs w:val="20"/>
                <w:color w:val="auto"/>
              </w:rPr>
            </w:pPr>
            <w:r>
              <w:rPr>
                <w:rFonts w:ascii="Arial" w:cs="Arial" w:eastAsia="Arial" w:hAnsi="Arial"/>
                <w:sz w:val="20"/>
                <w:szCs w:val="20"/>
                <w:color w:val="auto"/>
                <w:w w:val="91"/>
              </w:rPr>
              <w:t>(I.R.S. Employer</w:t>
            </w:r>
          </w:p>
        </w:tc>
        <w:tc>
          <w:tcPr>
            <w:tcW w:w="0" w:type="dxa"/>
            <w:vAlign w:val="bottom"/>
          </w:tcPr>
          <w:p>
            <w:pPr>
              <w:spacing w:after="0"/>
              <w:rPr>
                <w:sz w:val="1"/>
                <w:szCs w:val="1"/>
                <w:color w:val="auto"/>
              </w:rPr>
            </w:pPr>
          </w:p>
        </w:tc>
      </w:tr>
      <w:tr>
        <w:trPr>
          <w:trHeight w:val="250"/>
        </w:trPr>
        <w:tc>
          <w:tcPr>
            <w:tcW w:w="2620" w:type="dxa"/>
            <w:vAlign w:val="bottom"/>
          </w:tcPr>
          <w:p>
            <w:pPr>
              <w:jc w:val="center"/>
              <w:ind w:right="141"/>
              <w:spacing w:after="0"/>
              <w:rPr>
                <w:sz w:val="20"/>
                <w:szCs w:val="20"/>
                <w:color w:val="auto"/>
              </w:rPr>
            </w:pPr>
            <w:r>
              <w:rPr>
                <w:rFonts w:ascii="Arial" w:cs="Arial" w:eastAsia="Arial" w:hAnsi="Arial"/>
                <w:sz w:val="20"/>
                <w:szCs w:val="20"/>
                <w:color w:val="auto"/>
                <w:w w:val="92"/>
              </w:rPr>
              <w:t>Incorporation)</w:t>
            </w:r>
          </w:p>
        </w:tc>
        <w:tc>
          <w:tcPr>
            <w:tcW w:w="4160" w:type="dxa"/>
            <w:vAlign w:val="bottom"/>
            <w:vMerge w:val="continue"/>
          </w:tcPr>
          <w:p>
            <w:pPr>
              <w:spacing w:after="0"/>
              <w:rPr>
                <w:sz w:val="21"/>
                <w:szCs w:val="21"/>
                <w:color w:val="auto"/>
              </w:rPr>
            </w:pPr>
          </w:p>
        </w:tc>
        <w:tc>
          <w:tcPr>
            <w:tcW w:w="1820" w:type="dxa"/>
            <w:vAlign w:val="bottom"/>
          </w:tcPr>
          <w:p>
            <w:pPr>
              <w:jc w:val="center"/>
              <w:ind w:left="261"/>
              <w:spacing w:after="0"/>
              <w:rPr>
                <w:sz w:val="20"/>
                <w:szCs w:val="20"/>
                <w:color w:val="auto"/>
              </w:rPr>
            </w:pPr>
            <w:r>
              <w:rPr>
                <w:rFonts w:ascii="Arial" w:cs="Arial" w:eastAsia="Arial" w:hAnsi="Arial"/>
                <w:sz w:val="20"/>
                <w:szCs w:val="20"/>
                <w:color w:val="auto"/>
                <w:w w:val="93"/>
              </w:rPr>
              <w:t>Identification No.)</w:t>
            </w:r>
          </w:p>
        </w:tc>
        <w:tc>
          <w:tcPr>
            <w:tcW w:w="0" w:type="dxa"/>
            <w:vAlign w:val="bottom"/>
          </w:tcPr>
          <w:p>
            <w:pPr>
              <w:spacing w:after="0"/>
              <w:rPr>
                <w:sz w:val="1"/>
                <w:szCs w:val="1"/>
                <w:color w:val="auto"/>
              </w:rPr>
            </w:pPr>
          </w:p>
        </w:tc>
      </w:tr>
      <w:tr>
        <w:trPr>
          <w:trHeight w:val="550"/>
        </w:trPr>
        <w:tc>
          <w:tcPr>
            <w:tcW w:w="2620" w:type="dxa"/>
            <w:vAlign w:val="bottom"/>
          </w:tcPr>
          <w:p>
            <w:pPr>
              <w:spacing w:after="0"/>
              <w:rPr>
                <w:sz w:val="24"/>
                <w:szCs w:val="24"/>
                <w:color w:val="auto"/>
              </w:rPr>
            </w:pPr>
          </w:p>
        </w:tc>
        <w:tc>
          <w:tcPr>
            <w:tcW w:w="4160" w:type="dxa"/>
            <w:vAlign w:val="bottom"/>
          </w:tcPr>
          <w:p>
            <w:pPr>
              <w:jc w:val="center"/>
              <w:ind w:right="1"/>
              <w:spacing w:after="0"/>
              <w:rPr>
                <w:sz w:val="20"/>
                <w:szCs w:val="20"/>
                <w:color w:val="auto"/>
              </w:rPr>
            </w:pPr>
            <w:r>
              <w:rPr>
                <w:rFonts w:ascii="Arial" w:cs="Arial" w:eastAsia="Arial" w:hAnsi="Arial"/>
                <w:sz w:val="20"/>
                <w:szCs w:val="20"/>
                <w:b w:val="1"/>
                <w:bCs w:val="1"/>
                <w:color w:val="auto"/>
                <w:w w:val="88"/>
              </w:rPr>
              <w:t>8840 Cypress Waters Boulevard, Suite 300</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20" w:type="dxa"/>
            <w:vAlign w:val="bottom"/>
          </w:tcPr>
          <w:p>
            <w:pPr>
              <w:spacing w:after="0"/>
              <w:rPr>
                <w:sz w:val="24"/>
                <w:szCs w:val="24"/>
                <w:color w:val="auto"/>
              </w:rPr>
            </w:pPr>
          </w:p>
        </w:tc>
        <w:tc>
          <w:tcPr>
            <w:tcW w:w="4160" w:type="dxa"/>
            <w:vAlign w:val="bottom"/>
          </w:tcPr>
          <w:p>
            <w:pPr>
              <w:jc w:val="center"/>
              <w:ind w:right="21"/>
              <w:spacing w:after="0"/>
              <w:rPr>
                <w:sz w:val="20"/>
                <w:szCs w:val="20"/>
                <w:color w:val="auto"/>
              </w:rPr>
            </w:pPr>
            <w:r>
              <w:rPr>
                <w:rFonts w:ascii="Arial" w:cs="Arial" w:eastAsia="Arial" w:hAnsi="Arial"/>
                <w:sz w:val="20"/>
                <w:szCs w:val="20"/>
                <w:b w:val="1"/>
                <w:bCs w:val="1"/>
                <w:color w:val="auto"/>
                <w:w w:val="87"/>
              </w:rPr>
              <w:t>Dallas, Texas 75019</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(Address of Principal Executive Offices)</w:t>
      </w:r>
    </w:p>
    <w:p>
      <w:pPr>
        <w:spacing w:after="0" w:line="196" w:lineRule="exact"/>
        <w:rPr>
          <w:sz w:val="24"/>
          <w:szCs w:val="24"/>
          <w:color w:val="auto"/>
        </w:rPr>
      </w:pPr>
    </w:p>
    <w:p>
      <w:pPr>
        <w:ind w:left="292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(866) 871-8519</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317"/>
        <w:spacing w:after="0"/>
        <w:tabs>
          <w:tab w:leader="none" w:pos="4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44" w:lineRule="exact"/>
        <w:rPr>
          <w:rFonts w:ascii="MS PGothic" w:cs="MS PGothic" w:eastAsia="MS PGothic" w:hAnsi="MS PGothic"/>
          <w:sz w:val="18"/>
          <w:szCs w:val="18"/>
          <w:color w:val="auto"/>
        </w:rPr>
      </w:pPr>
    </w:p>
    <w:p>
      <w:pPr>
        <w:ind w:left="460" w:hanging="317"/>
        <w:spacing w:after="0"/>
        <w:tabs>
          <w:tab w:leader="none" w:pos="4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60" w:hanging="317"/>
        <w:spacing w:after="0"/>
        <w:tabs>
          <w:tab w:leader="none" w:pos="4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CFR240.14d-2(b))</w:t>
      </w:r>
    </w:p>
    <w:p>
      <w:pPr>
        <w:spacing w:after="0" w:line="130" w:lineRule="exact"/>
        <w:rPr>
          <w:rFonts w:ascii="MS PGothic" w:cs="MS PGothic" w:eastAsia="MS PGothic" w:hAnsi="MS PGothic"/>
          <w:sz w:val="18"/>
          <w:szCs w:val="18"/>
          <w:color w:val="auto"/>
        </w:rPr>
      </w:pPr>
    </w:p>
    <w:p>
      <w:pPr>
        <w:ind w:left="440" w:hanging="311"/>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2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Trading Symbol</w:t>
            </w:r>
          </w:p>
        </w:tc>
        <w:tc>
          <w:tcPr>
            <w:tcW w:w="368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Common Stock, par value $0.01</w:t>
            </w: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rPr>
              <w:t>AMN</w:t>
            </w:r>
          </w:p>
        </w:tc>
        <w:tc>
          <w:tcPr>
            <w:tcW w:w="340" w:type="dxa"/>
            <w:vAlign w:val="bottom"/>
          </w:tcPr>
          <w:p>
            <w:pPr>
              <w:spacing w:after="0"/>
              <w:rPr>
                <w:sz w:val="18"/>
                <w:szCs w:val="18"/>
                <w:color w:val="auto"/>
              </w:rPr>
            </w:pPr>
          </w:p>
        </w:tc>
        <w:tc>
          <w:tcPr>
            <w:tcW w:w="3340" w:type="dxa"/>
            <w:vAlign w:val="bottom"/>
            <w:vMerge w:val="restart"/>
          </w:tcPr>
          <w:p>
            <w:pPr>
              <w:jc w:val="center"/>
              <w:spacing w:after="0"/>
              <w:rPr>
                <w:sz w:val="20"/>
                <w:szCs w:val="20"/>
                <w:color w:val="auto"/>
              </w:rPr>
            </w:pPr>
            <w:r>
              <w:rPr>
                <w:rFonts w:ascii="Arial" w:cs="Arial" w:eastAsia="Arial" w:hAnsi="Arial"/>
                <w:sz w:val="18"/>
                <w:szCs w:val="18"/>
                <w:color w:val="auto"/>
                <w:w w:val="97"/>
              </w:rPr>
              <w:t>NYSE</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2260" w:type="dxa"/>
            <w:vAlign w:val="bottom"/>
            <w:gridSpan w:val="2"/>
            <w:vMerge w:val="restart"/>
          </w:tcPr>
          <w:p>
            <w:pPr>
              <w:jc w:val="center"/>
              <w:ind w:right="920"/>
              <w:spacing w:after="0"/>
              <w:rPr>
                <w:sz w:val="20"/>
                <w:szCs w:val="20"/>
                <w:color w:val="auto"/>
              </w:rPr>
            </w:pPr>
            <w:r>
              <w:rPr>
                <w:rFonts w:ascii="Arial" w:cs="Arial" w:eastAsia="Arial" w:hAnsi="Arial"/>
                <w:sz w:val="18"/>
                <w:szCs w:val="18"/>
                <w:color w:val="auto"/>
                <w:w w:val="86"/>
              </w:rPr>
              <w:t>per share</w:t>
            </w:r>
          </w:p>
        </w:tc>
        <w:tc>
          <w:tcPr>
            <w:tcW w:w="15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226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(17 CFR</w:t>
      </w:r>
    </w:p>
    <w:p>
      <w:pPr>
        <w:ind w:left="460" w:right="4420" w:hanging="317"/>
        <w:spacing w:after="0" w:line="229"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§230.405) or Rule 12b-2 of the Securities Exchange Act of 1934 (17 CFR §240.12b-2). Emerging growth company</w:t>
      </w:r>
    </w:p>
    <w:p>
      <w:pPr>
        <w:spacing w:after="0" w:line="108" w:lineRule="exact"/>
        <w:rPr>
          <w:rFonts w:ascii="MS PGothic" w:cs="MS PGothic" w:eastAsia="MS PGothic" w:hAnsi="MS PGothic"/>
          <w:sz w:val="18"/>
          <w:szCs w:val="18"/>
          <w:color w:val="auto"/>
        </w:rPr>
      </w:pPr>
    </w:p>
    <w:p>
      <w:pPr>
        <w:ind w:left="460" w:hanging="317"/>
        <w:spacing w:after="0" w:line="181" w:lineRule="auto"/>
        <w:tabs>
          <w:tab w:leader="none" w:pos="460" w:val="left"/>
        </w:tabs>
        <w:numPr>
          <w:ilvl w:val="0"/>
          <w:numId w:val="2"/>
        </w:numPr>
        <w:rPr>
          <w:rFonts w:ascii="MS PGothic" w:cs="MS PGothic" w:eastAsia="MS PGothic" w:hAnsi="MS PGothic"/>
          <w:sz w:val="34"/>
          <w:szCs w:val="34"/>
          <w:color w:val="auto"/>
          <w:vertAlign w:val="subscript"/>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1094740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360"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Annual Meeting of Shareholders (the "</w:t>
      </w:r>
      <w:r>
        <w:rPr>
          <w:rFonts w:ascii="Arial" w:cs="Arial" w:eastAsia="Arial" w:hAnsi="Arial"/>
          <w:sz w:val="18"/>
          <w:szCs w:val="18"/>
          <w:b w:val="1"/>
          <w:bCs w:val="1"/>
          <w:u w:val="single" w:color="auto"/>
          <w:color w:val="auto"/>
        </w:rPr>
        <w:t>Annual Meeting</w:t>
      </w:r>
      <w:r>
        <w:rPr>
          <w:rFonts w:ascii="Arial" w:cs="Arial" w:eastAsia="Arial" w:hAnsi="Arial"/>
          <w:sz w:val="18"/>
          <w:szCs w:val="18"/>
          <w:color w:val="auto"/>
        </w:rPr>
        <w:t>") of AMN Healthcare Services,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held on May 6, 2022, the Company's shareholders voted on five proposals as set forth below, each of which is described in greater detail in the Company’s proxy statement filed on March 24, 2022 for the Annual Meeting (the “</w:t>
      </w:r>
      <w:r>
        <w:rPr>
          <w:rFonts w:ascii="Arial" w:cs="Arial" w:eastAsia="Arial" w:hAnsi="Arial"/>
          <w:sz w:val="18"/>
          <w:szCs w:val="18"/>
          <w:b w:val="1"/>
          <w:bCs w:val="1"/>
          <w:u w:val="single" w:color="auto"/>
          <w:color w:val="auto"/>
        </w:rPr>
        <w:t>Proxy Statement</w:t>
      </w:r>
      <w:r>
        <w:rPr>
          <w:rFonts w:ascii="Arial" w:cs="Arial" w:eastAsia="Arial" w:hAnsi="Arial"/>
          <w:sz w:val="18"/>
          <w:szCs w:val="18"/>
          <w:color w:val="auto"/>
        </w:rPr>
        <w:t>”). The number of votes cast for and against, and the number of abstentions and broker non-votes with respect to each matter voted upon are set forth below.</w:t>
      </w:r>
    </w:p>
    <w:p>
      <w:pPr>
        <w:spacing w:after="0" w:line="116" w:lineRule="exact"/>
        <w:rPr>
          <w:sz w:val="20"/>
          <w:szCs w:val="20"/>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individuals listed below were elected at the Annual Meeting by the vote set forth in the table immediately below to serve as directors of the Company until the next annual meeting of shareholders or until each of their respective successors have been duly elected and qualified:</w:t>
      </w:r>
    </w:p>
    <w:p>
      <w:pPr>
        <w:spacing w:after="0" w:line="10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6"/>
              </w:rPr>
              <w:t>For</w:t>
            </w:r>
          </w:p>
        </w:tc>
        <w:tc>
          <w:tcPr>
            <w:tcW w:w="1960" w:type="dxa"/>
            <w:vAlign w:val="bottom"/>
            <w:gridSpan w:val="3"/>
          </w:tcPr>
          <w:p>
            <w:pPr>
              <w:ind w:left="660"/>
              <w:spacing w:after="0"/>
              <w:rPr>
                <w:sz w:val="20"/>
                <w:szCs w:val="20"/>
                <w:color w:val="auto"/>
              </w:rPr>
            </w:pPr>
            <w:r>
              <w:rPr>
                <w:rFonts w:ascii="Arial" w:cs="Arial" w:eastAsia="Arial" w:hAnsi="Arial"/>
                <w:sz w:val="18"/>
                <w:szCs w:val="18"/>
                <w:b w:val="1"/>
                <w:bCs w:val="1"/>
                <w:color w:val="auto"/>
              </w:rPr>
              <w:t>Against</w:t>
            </w:r>
          </w:p>
        </w:tc>
        <w:tc>
          <w:tcPr>
            <w:tcW w:w="1260" w:type="dxa"/>
            <w:vAlign w:val="bottom"/>
            <w:gridSpan w:val="2"/>
          </w:tcPr>
          <w:p>
            <w:pPr>
              <w:ind w:left="660"/>
              <w:spacing w:after="0"/>
              <w:rPr>
                <w:sz w:val="20"/>
                <w:szCs w:val="20"/>
                <w:color w:val="auto"/>
              </w:rPr>
            </w:pPr>
            <w:r>
              <w:rPr>
                <w:rFonts w:ascii="Arial" w:cs="Arial" w:eastAsia="Arial" w:hAnsi="Arial"/>
                <w:sz w:val="18"/>
                <w:szCs w:val="18"/>
                <w:b w:val="1"/>
                <w:bCs w:val="1"/>
                <w:color w:val="auto"/>
                <w:w w:val="87"/>
              </w:rPr>
              <w:t>Abstain</w:t>
            </w:r>
          </w:p>
        </w:tc>
        <w:tc>
          <w:tcPr>
            <w:tcW w:w="234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9"/>
        </w:trPr>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Jorge A. Caballero</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38,256,268</w:t>
            </w:r>
          </w:p>
        </w:tc>
        <w:tc>
          <w:tcPr>
            <w:tcW w:w="12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181,204</w:t>
            </w:r>
          </w:p>
        </w:tc>
        <w:tc>
          <w:tcPr>
            <w:tcW w:w="720" w:type="dxa"/>
            <w:vAlign w:val="bottom"/>
          </w:tcPr>
          <w:p>
            <w:pPr>
              <w:spacing w:after="0"/>
              <w:rPr>
                <w:sz w:val="21"/>
                <w:szCs w:val="21"/>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41,626</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29"/>
        </w:trPr>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Mark G. Foletta</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38,094,281</w:t>
            </w:r>
          </w:p>
        </w:tc>
        <w:tc>
          <w:tcPr>
            <w:tcW w:w="12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343,564</w:t>
            </w:r>
          </w:p>
        </w:tc>
        <w:tc>
          <w:tcPr>
            <w:tcW w:w="720" w:type="dxa"/>
            <w:vAlign w:val="bottom"/>
          </w:tcPr>
          <w:p>
            <w:pPr>
              <w:spacing w:after="0"/>
              <w:rPr>
                <w:sz w:val="19"/>
                <w:szCs w:val="19"/>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41,253</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29"/>
        </w:trPr>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Teri G. Fontenot</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38,278,333</w:t>
            </w:r>
          </w:p>
        </w:tc>
        <w:tc>
          <w:tcPr>
            <w:tcW w:w="12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180,285</w:t>
            </w:r>
          </w:p>
        </w:tc>
        <w:tc>
          <w:tcPr>
            <w:tcW w:w="720" w:type="dxa"/>
            <w:vAlign w:val="bottom"/>
          </w:tcPr>
          <w:p>
            <w:pPr>
              <w:spacing w:after="0"/>
              <w:rPr>
                <w:sz w:val="19"/>
                <w:szCs w:val="19"/>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20,480</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30"/>
        </w:trPr>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R. Jeffrey Harris</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37,626,159</w:t>
            </w:r>
          </w:p>
        </w:tc>
        <w:tc>
          <w:tcPr>
            <w:tcW w:w="12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831,868</w:t>
            </w:r>
          </w:p>
        </w:tc>
        <w:tc>
          <w:tcPr>
            <w:tcW w:w="720" w:type="dxa"/>
            <w:vAlign w:val="bottom"/>
          </w:tcPr>
          <w:p>
            <w:pPr>
              <w:spacing w:after="0"/>
              <w:rPr>
                <w:sz w:val="19"/>
                <w:szCs w:val="19"/>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21,071</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29"/>
        </w:trPr>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Daphne E. Jones</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38,286,127</w:t>
            </w:r>
          </w:p>
        </w:tc>
        <w:tc>
          <w:tcPr>
            <w:tcW w:w="12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172,883</w:t>
            </w:r>
          </w:p>
        </w:tc>
        <w:tc>
          <w:tcPr>
            <w:tcW w:w="720" w:type="dxa"/>
            <w:vAlign w:val="bottom"/>
          </w:tcPr>
          <w:p>
            <w:pPr>
              <w:spacing w:after="0"/>
              <w:rPr>
                <w:sz w:val="19"/>
                <w:szCs w:val="19"/>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20,088</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29"/>
        </w:trPr>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Martha H. Marsh</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36,893,815</w:t>
            </w:r>
          </w:p>
        </w:tc>
        <w:tc>
          <w:tcPr>
            <w:tcW w:w="19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1,565,694</w:t>
            </w: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19,589</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30"/>
        </w:trPr>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Susan R. Salka</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38,117,618</w:t>
            </w:r>
          </w:p>
        </w:tc>
        <w:tc>
          <w:tcPr>
            <w:tcW w:w="12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341,884</w:t>
            </w:r>
          </w:p>
        </w:tc>
        <w:tc>
          <w:tcPr>
            <w:tcW w:w="720" w:type="dxa"/>
            <w:vAlign w:val="bottom"/>
          </w:tcPr>
          <w:p>
            <w:pPr>
              <w:spacing w:after="0"/>
              <w:rPr>
                <w:sz w:val="19"/>
                <w:szCs w:val="19"/>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19,596</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29"/>
        </w:trPr>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Sylvia Trent-Adams</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38,357,005</w:t>
            </w:r>
          </w:p>
        </w:tc>
        <w:tc>
          <w:tcPr>
            <w:tcW w:w="12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102,426</w:t>
            </w:r>
          </w:p>
        </w:tc>
        <w:tc>
          <w:tcPr>
            <w:tcW w:w="720" w:type="dxa"/>
            <w:vAlign w:val="bottom"/>
          </w:tcPr>
          <w:p>
            <w:pPr>
              <w:spacing w:after="0"/>
              <w:rPr>
                <w:sz w:val="19"/>
                <w:szCs w:val="19"/>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19,667</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r>
        <w:trPr>
          <w:trHeight w:val="230"/>
        </w:trPr>
        <w:tc>
          <w:tcPr>
            <w:tcW w:w="190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Douglas D. Wheat</w:t>
            </w: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36,989,177</w:t>
            </w:r>
          </w:p>
        </w:tc>
        <w:tc>
          <w:tcPr>
            <w:tcW w:w="19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1,345,613</w:t>
            </w: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144,308</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2,561,267</w:t>
            </w:r>
          </w:p>
        </w:tc>
      </w:tr>
    </w:tbl>
    <w:p>
      <w:pPr>
        <w:spacing w:after="0" w:line="200" w:lineRule="exact"/>
        <w:rPr>
          <w:sz w:val="20"/>
          <w:szCs w:val="20"/>
          <w:color w:val="auto"/>
        </w:rPr>
      </w:pPr>
    </w:p>
    <w:p>
      <w:pPr>
        <w:spacing w:after="0" w:line="353"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approval, on an advisory basis, of the compensation awarded to the Company's named executive officers, as described in the Proxy Statement. This proposal was approved as set forth immediately below:</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128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6"/>
              </w:rPr>
              <w:t>For</w:t>
            </w:r>
          </w:p>
        </w:tc>
        <w:tc>
          <w:tcPr>
            <w:tcW w:w="2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Against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Abstain</w:t>
            </w:r>
          </w:p>
        </w:tc>
        <w:tc>
          <w:tcPr>
            <w:tcW w:w="262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50"/>
        </w:trPr>
        <w:tc>
          <w:tcPr>
            <w:tcW w:w="1540" w:type="dxa"/>
            <w:vAlign w:val="bottom"/>
            <w:gridSpan w:val="3"/>
          </w:tcPr>
          <w:p>
            <w:pPr>
              <w:jc w:val="right"/>
              <w:ind w:right="740"/>
              <w:spacing w:after="0"/>
              <w:rPr>
                <w:sz w:val="20"/>
                <w:szCs w:val="20"/>
                <w:color w:val="auto"/>
              </w:rPr>
            </w:pPr>
            <w:r>
              <w:rPr>
                <w:rFonts w:ascii="Arial" w:cs="Arial" w:eastAsia="Arial" w:hAnsi="Arial"/>
                <w:sz w:val="18"/>
                <w:szCs w:val="18"/>
                <w:color w:val="auto"/>
                <w:w w:val="86"/>
              </w:rPr>
              <w:t>34,433,004</w:t>
            </w:r>
          </w:p>
        </w:tc>
        <w:tc>
          <w:tcPr>
            <w:tcW w:w="2240" w:type="dxa"/>
            <w:vAlign w:val="bottom"/>
            <w:gridSpan w:val="3"/>
          </w:tcPr>
          <w:p>
            <w:pPr>
              <w:jc w:val="right"/>
              <w:ind w:right="780"/>
              <w:spacing w:after="0"/>
              <w:rPr>
                <w:sz w:val="20"/>
                <w:szCs w:val="20"/>
                <w:color w:val="auto"/>
              </w:rPr>
            </w:pPr>
            <w:r>
              <w:rPr>
                <w:rFonts w:ascii="Arial" w:cs="Arial" w:eastAsia="Arial" w:hAnsi="Arial"/>
                <w:sz w:val="18"/>
                <w:szCs w:val="18"/>
                <w:color w:val="auto"/>
              </w:rPr>
              <w:t>3,700,735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345,359</w:t>
            </w:r>
          </w:p>
        </w:tc>
        <w:tc>
          <w:tcPr>
            <w:tcW w:w="2620" w:type="dxa"/>
            <w:vAlign w:val="bottom"/>
            <w:gridSpan w:val="2"/>
          </w:tcPr>
          <w:p>
            <w:pPr>
              <w:jc w:val="right"/>
              <w:ind w:right="340"/>
              <w:spacing w:after="0"/>
              <w:rPr>
                <w:sz w:val="20"/>
                <w:szCs w:val="20"/>
                <w:color w:val="auto"/>
              </w:rPr>
            </w:pPr>
            <w:r>
              <w:rPr>
                <w:rFonts w:ascii="Arial" w:cs="Arial" w:eastAsia="Arial" w:hAnsi="Arial"/>
                <w:sz w:val="18"/>
                <w:szCs w:val="18"/>
                <w:color w:val="auto"/>
              </w:rPr>
              <w:t>2,561,267</w:t>
            </w:r>
          </w:p>
        </w:tc>
      </w:tr>
    </w:tbl>
    <w:p>
      <w:pPr>
        <w:spacing w:after="0" w:line="200" w:lineRule="exact"/>
        <w:rPr>
          <w:sz w:val="20"/>
          <w:szCs w:val="20"/>
          <w:color w:val="auto"/>
        </w:rPr>
      </w:pPr>
    </w:p>
    <w:p>
      <w:pPr>
        <w:spacing w:after="0" w:line="3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the AMN Healthcare Employee Stock Purchase Plan. This proposal was approved as set forth immediately below:</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13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6"/>
              </w:rPr>
              <w:t>For</w:t>
            </w:r>
          </w:p>
        </w:tc>
        <w:tc>
          <w:tcPr>
            <w:tcW w:w="2160" w:type="dxa"/>
            <w:vAlign w:val="bottom"/>
            <w:gridSpan w:val="3"/>
          </w:tcPr>
          <w:p>
            <w:pPr>
              <w:ind w:left="760"/>
              <w:spacing w:after="0"/>
              <w:rPr>
                <w:sz w:val="20"/>
                <w:szCs w:val="20"/>
                <w:color w:val="auto"/>
              </w:rPr>
            </w:pPr>
            <w:r>
              <w:rPr>
                <w:rFonts w:ascii="Arial" w:cs="Arial" w:eastAsia="Arial" w:hAnsi="Arial"/>
                <w:sz w:val="18"/>
                <w:szCs w:val="18"/>
                <w:b w:val="1"/>
                <w:bCs w:val="1"/>
                <w:color w:val="auto"/>
              </w:rPr>
              <w:t>Against</w:t>
            </w:r>
          </w:p>
        </w:tc>
        <w:tc>
          <w:tcPr>
            <w:tcW w:w="142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0"/>
              </w:rPr>
              <w:t>Abstain</w:t>
            </w:r>
          </w:p>
        </w:tc>
        <w:tc>
          <w:tcPr>
            <w:tcW w:w="262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50"/>
        </w:trPr>
        <w:tc>
          <w:tcPr>
            <w:tcW w:w="1580" w:type="dxa"/>
            <w:vAlign w:val="bottom"/>
            <w:gridSpan w:val="3"/>
          </w:tcPr>
          <w:p>
            <w:pPr>
              <w:jc w:val="right"/>
              <w:ind w:right="780"/>
              <w:spacing w:after="0"/>
              <w:rPr>
                <w:sz w:val="20"/>
                <w:szCs w:val="20"/>
                <w:color w:val="auto"/>
              </w:rPr>
            </w:pPr>
            <w:r>
              <w:rPr>
                <w:rFonts w:ascii="Arial" w:cs="Arial" w:eastAsia="Arial" w:hAnsi="Arial"/>
                <w:sz w:val="18"/>
                <w:szCs w:val="18"/>
                <w:color w:val="auto"/>
                <w:w w:val="86"/>
              </w:rPr>
              <w:t>38,294,732</w:t>
            </w: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w w:val="86"/>
              </w:rPr>
              <w:t>165,694</w:t>
            </w:r>
          </w:p>
        </w:tc>
        <w:tc>
          <w:tcPr>
            <w:tcW w:w="8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18,672</w:t>
            </w:r>
          </w:p>
        </w:tc>
        <w:tc>
          <w:tcPr>
            <w:tcW w:w="2620" w:type="dxa"/>
            <w:vAlign w:val="bottom"/>
            <w:gridSpan w:val="2"/>
          </w:tcPr>
          <w:p>
            <w:pPr>
              <w:jc w:val="right"/>
              <w:ind w:right="340"/>
              <w:spacing w:after="0"/>
              <w:rPr>
                <w:sz w:val="20"/>
                <w:szCs w:val="20"/>
                <w:color w:val="auto"/>
              </w:rPr>
            </w:pPr>
            <w:r>
              <w:rPr>
                <w:rFonts w:ascii="Arial" w:cs="Arial" w:eastAsia="Arial" w:hAnsi="Arial"/>
                <w:sz w:val="18"/>
                <w:szCs w:val="18"/>
                <w:color w:val="auto"/>
              </w:rPr>
              <w:t>2,561,267</w:t>
            </w:r>
          </w:p>
        </w:tc>
      </w:tr>
    </w:tbl>
    <w:p>
      <w:pPr>
        <w:spacing w:after="0" w:line="200" w:lineRule="exact"/>
        <w:rPr>
          <w:sz w:val="20"/>
          <w:szCs w:val="20"/>
          <w:color w:val="auto"/>
        </w:rPr>
      </w:pPr>
    </w:p>
    <w:p>
      <w:pPr>
        <w:spacing w:after="0" w:line="366"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selection of KPMG LLP as the Company's independent registered public accounting firm for the fiscal year ending December 31, 2022. This proposal was approved as set forth immediately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13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6"/>
              </w:rPr>
              <w:t>For</w:t>
            </w:r>
          </w:p>
        </w:tc>
        <w:tc>
          <w:tcPr>
            <w:tcW w:w="2160" w:type="dxa"/>
            <w:vAlign w:val="bottom"/>
            <w:gridSpan w:val="3"/>
          </w:tcPr>
          <w:p>
            <w:pPr>
              <w:ind w:left="760"/>
              <w:spacing w:after="0"/>
              <w:rPr>
                <w:sz w:val="20"/>
                <w:szCs w:val="20"/>
                <w:color w:val="auto"/>
              </w:rPr>
            </w:pPr>
            <w:r>
              <w:rPr>
                <w:rFonts w:ascii="Arial" w:cs="Arial" w:eastAsia="Arial" w:hAnsi="Arial"/>
                <w:sz w:val="18"/>
                <w:szCs w:val="18"/>
                <w:b w:val="1"/>
                <w:bCs w:val="1"/>
                <w:color w:val="auto"/>
              </w:rPr>
              <w:t>Against</w:t>
            </w:r>
          </w:p>
        </w:tc>
        <w:tc>
          <w:tcPr>
            <w:tcW w:w="142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0"/>
              </w:rPr>
              <w:t>Abstain</w:t>
            </w:r>
          </w:p>
        </w:tc>
        <w:tc>
          <w:tcPr>
            <w:tcW w:w="43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3280" w:type="dxa"/>
            <w:vAlign w:val="bottom"/>
            <w:gridSpan w:val="3"/>
          </w:tcPr>
          <w:p>
            <w:pPr>
              <w:jc w:val="right"/>
              <w:ind w:right="780"/>
              <w:spacing w:after="0"/>
              <w:rPr>
                <w:sz w:val="20"/>
                <w:szCs w:val="20"/>
                <w:color w:val="auto"/>
              </w:rPr>
            </w:pPr>
            <w:r>
              <w:rPr>
                <w:rFonts w:ascii="Arial" w:cs="Arial" w:eastAsia="Arial" w:hAnsi="Arial"/>
                <w:sz w:val="18"/>
                <w:szCs w:val="18"/>
                <w:color w:val="auto"/>
              </w:rPr>
              <w:t>40,109,735</w:t>
            </w: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w w:val="86"/>
              </w:rPr>
              <w:t>908,859</w:t>
            </w:r>
          </w:p>
        </w:tc>
        <w:tc>
          <w:tcPr>
            <w:tcW w:w="8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21,771</w:t>
            </w:r>
          </w:p>
        </w:tc>
        <w:tc>
          <w:tcPr>
            <w:tcW w:w="1240" w:type="dxa"/>
            <w:vAlign w:val="bottom"/>
          </w:tcPr>
          <w:p>
            <w:pPr>
              <w:spacing w:after="0"/>
              <w:rPr>
                <w:sz w:val="21"/>
                <w:szCs w:val="21"/>
                <w:color w:val="auto"/>
              </w:rPr>
            </w:pPr>
          </w:p>
        </w:tc>
        <w:tc>
          <w:tcPr>
            <w:tcW w:w="3140" w:type="dxa"/>
            <w:vAlign w:val="bottom"/>
            <w:gridSpan w:val="2"/>
          </w:tcPr>
          <w:p>
            <w:pPr>
              <w:jc w:val="center"/>
              <w:ind w:right="1760"/>
              <w:spacing w:after="0"/>
              <w:rPr>
                <w:sz w:val="20"/>
                <w:szCs w:val="20"/>
                <w:color w:val="auto"/>
              </w:rPr>
            </w:pPr>
            <w:r>
              <w:rPr>
                <w:rFonts w:ascii="Arial" w:cs="Arial" w:eastAsia="Arial" w:hAnsi="Arial"/>
                <w:sz w:val="18"/>
                <w:szCs w:val="18"/>
                <w:color w:val="auto"/>
                <w:w w:val="99"/>
              </w:rPr>
              <w:t>—</w:t>
            </w:r>
          </w:p>
        </w:tc>
      </w:tr>
      <w:tr>
        <w:trPr>
          <w:trHeight w:val="1492"/>
        </w:trPr>
        <w:tc>
          <w:tcPr>
            <w:tcW w:w="1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5" w:lineRule="exact"/>
        <w:rPr>
          <w:sz w:val="20"/>
          <w:szCs w:val="20"/>
          <w:color w:val="auto"/>
        </w:rPr>
      </w:pPr>
    </w:p>
    <w:p>
      <w:pPr>
        <w:ind w:left="740" w:right="880" w:hanging="246"/>
        <w:spacing w:after="0" w:line="277"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shareholder proposal entitled "Special Shareholder Meeting Improvement" was not approved in accordance with the vote set forth immediately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26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6"/>
              </w:rPr>
              <w:t>For</w:t>
            </w:r>
          </w:p>
        </w:tc>
        <w:tc>
          <w:tcPr>
            <w:tcW w:w="2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Against</w:t>
            </w:r>
          </w:p>
        </w:tc>
        <w:tc>
          <w:tcPr>
            <w:tcW w:w="136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Abstain</w:t>
            </w:r>
          </w:p>
        </w:tc>
        <w:tc>
          <w:tcPr>
            <w:tcW w:w="43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0"/>
        </w:trPr>
        <w:tc>
          <w:tcPr>
            <w:tcW w:w="3220" w:type="dxa"/>
            <w:vAlign w:val="bottom"/>
            <w:gridSpan w:val="3"/>
          </w:tcPr>
          <w:p>
            <w:pPr>
              <w:jc w:val="right"/>
              <w:ind w:right="720"/>
              <w:spacing w:after="0"/>
              <w:rPr>
                <w:sz w:val="20"/>
                <w:szCs w:val="20"/>
                <w:color w:val="auto"/>
              </w:rPr>
            </w:pPr>
            <w:r>
              <w:rPr>
                <w:rFonts w:ascii="Arial" w:cs="Arial" w:eastAsia="Arial" w:hAnsi="Arial"/>
                <w:sz w:val="18"/>
                <w:szCs w:val="18"/>
                <w:color w:val="auto"/>
              </w:rPr>
              <w:t>10,095,061</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28,308,782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75,255</w:t>
            </w:r>
          </w:p>
        </w:tc>
        <w:tc>
          <w:tcPr>
            <w:tcW w:w="2620" w:type="dxa"/>
            <w:vAlign w:val="bottom"/>
            <w:gridSpan w:val="2"/>
          </w:tcPr>
          <w:p>
            <w:pPr>
              <w:jc w:val="right"/>
              <w:ind w:right="340"/>
              <w:spacing w:after="0"/>
              <w:rPr>
                <w:sz w:val="20"/>
                <w:szCs w:val="20"/>
                <w:color w:val="auto"/>
              </w:rPr>
            </w:pPr>
            <w:r>
              <w:rPr>
                <w:rFonts w:ascii="Arial" w:cs="Arial" w:eastAsia="Arial" w:hAnsi="Arial"/>
                <w:sz w:val="18"/>
                <w:szCs w:val="18"/>
                <w:color w:val="auto"/>
              </w:rPr>
              <w:t>2,561,267</w:t>
            </w:r>
          </w:p>
        </w:tc>
        <w:tc>
          <w:tcPr>
            <w:tcW w:w="1760" w:type="dxa"/>
            <w:vAlign w:val="bottom"/>
          </w:tcPr>
          <w:p>
            <w:pPr>
              <w:spacing w:after="0"/>
              <w:rPr>
                <w:sz w:val="21"/>
                <w:szCs w:val="21"/>
                <w:color w:val="auto"/>
              </w:rPr>
            </w:pPr>
          </w:p>
        </w:tc>
      </w:tr>
      <w:tr>
        <w:trPr>
          <w:trHeight w:val="2005"/>
        </w:trPr>
        <w:tc>
          <w:tcPr>
            <w:tcW w:w="1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200" w:type="dxa"/>
            <w:vAlign w:val="bottom"/>
            <w:gridSpan w:val="3"/>
          </w:tcPr>
          <w:p>
            <w:pPr>
              <w:ind w:left="2160"/>
              <w:spacing w:after="0"/>
              <w:rPr>
                <w:sz w:val="20"/>
                <w:szCs w:val="20"/>
                <w:color w:val="auto"/>
              </w:rPr>
            </w:pPr>
            <w:r>
              <w:rPr>
                <w:rFonts w:ascii="Arial" w:cs="Arial" w:eastAsia="Arial" w:hAnsi="Arial"/>
                <w:sz w:val="18"/>
                <w:szCs w:val="18"/>
                <w:b w:val="1"/>
                <w:bCs w:val="1"/>
                <w:color w:val="auto"/>
              </w:rPr>
              <w:t>AMN Healthcare Services, Inc.</w:t>
            </w:r>
          </w:p>
        </w:tc>
      </w:tr>
      <w:tr>
        <w:trPr>
          <w:trHeight w:val="310"/>
        </w:trPr>
        <w:tc>
          <w:tcPr>
            <w:tcW w:w="3460" w:type="dxa"/>
            <w:vAlign w:val="bottom"/>
          </w:tcPr>
          <w:p>
            <w:pPr>
              <w:spacing w:after="0"/>
              <w:rPr>
                <w:sz w:val="20"/>
                <w:szCs w:val="20"/>
                <w:color w:val="auto"/>
              </w:rPr>
            </w:pPr>
            <w:r>
              <w:rPr>
                <w:rFonts w:ascii="Arial" w:cs="Arial" w:eastAsia="Arial" w:hAnsi="Arial"/>
                <w:sz w:val="18"/>
                <w:szCs w:val="18"/>
                <w:color w:val="auto"/>
              </w:rPr>
              <w:t>Date: May 11, 2022</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2600" w:type="dxa"/>
            <w:vAlign w:val="bottom"/>
            <w:gridSpan w:val="2"/>
          </w:tcPr>
          <w:p>
            <w:pPr>
              <w:spacing w:after="0"/>
              <w:rPr>
                <w:sz w:val="20"/>
                <w:szCs w:val="20"/>
                <w:color w:val="auto"/>
              </w:rPr>
            </w:pPr>
            <w:r>
              <w:rPr>
                <w:rFonts w:ascii="Arial" w:cs="Arial" w:eastAsia="Arial" w:hAnsi="Arial"/>
                <w:sz w:val="18"/>
                <w:szCs w:val="18"/>
                <w:color w:val="auto"/>
              </w:rPr>
              <w:t>/s/ Susan R. Salka</w:t>
            </w:r>
          </w:p>
        </w:tc>
      </w:tr>
      <w:tr>
        <w:trPr>
          <w:trHeight w:val="249"/>
        </w:trPr>
        <w:tc>
          <w:tcPr>
            <w:tcW w:w="34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Susan R. Salka</w:t>
            </w:r>
          </w:p>
        </w:tc>
        <w:tc>
          <w:tcPr>
            <w:tcW w:w="1300" w:type="dxa"/>
            <w:vAlign w:val="bottom"/>
          </w:tcPr>
          <w:p>
            <w:pPr>
              <w:spacing w:after="0"/>
              <w:rPr>
                <w:sz w:val="21"/>
                <w:szCs w:val="21"/>
                <w:color w:val="auto"/>
              </w:rPr>
            </w:pPr>
          </w:p>
        </w:tc>
      </w:tr>
      <w:tr>
        <w:trPr>
          <w:trHeight w:val="230"/>
        </w:trPr>
        <w:tc>
          <w:tcPr>
            <w:tcW w:w="3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i w:val="1"/>
                <w:iCs w:val="1"/>
                <w:color w:val="auto"/>
                <w:w w:val="91"/>
              </w:rPr>
              <w:t>President &amp; Chief Executive Officer</w:t>
            </w:r>
          </w:p>
        </w:tc>
      </w:tr>
    </w:tbl>
    <w:p>
      <w:pPr>
        <w:spacing w:after="0" w:line="1" w:lineRule="exact"/>
        <w:rPr>
          <w:sz w:val="20"/>
          <w:szCs w:val="20"/>
          <w:color w:val="auto"/>
        </w:rPr>
      </w:pPr>
    </w:p>
    <w:sectPr>
      <w:pgSz w:w="11900" w:h="16838" w:orient="portrait"/>
      <w:cols w:equalWidth="0" w:num="1">
        <w:col w:w="10920"/>
      </w:cols>
      <w:pgMar w:left="32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2022-05-11T16:11:34Z</dcterms:created>
  <dcterms:modified xsi:type="dcterms:W3CDTF">2022-05-11T16:11:34Z</dcterms:modified>
</cp:coreProperties>
</file>