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7926974.xml.htm"/>
      <w:bookmarkStart w:id="1" w:name="kswkform4_177792697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Jones Daphne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AMN HEALTHCARE SERVICES,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12400 HIGH BLUFF DRIVE,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AMN HEALTHCARE SERVICES INC</w:t>
              </w:r>
            </w:hyperlink>
            <w:r>
              <w:rPr/>
              <w:t xml:space="preserve"> [ </w:t>
            </w:r>
            <w:r>
              <w:rPr>
                <w:rFonts w:ascii="Times;serif" w:hAnsi="Times;serif"/>
                <w:color w:val="0000FF"/>
                <w:sz w:val="24"/>
                <w:shd w:fill="FFFFFF" w:val="clear"/>
              </w:rPr>
              <w:t>AMN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8,325</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17,124</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9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606"/>
        <w:gridCol w:w="906"/>
        <w:gridCol w:w="801"/>
        <w:gridCol w:w="891"/>
        <w:gridCol w:w="681"/>
        <w:gridCol w:w="801"/>
        <w:gridCol w:w="936"/>
        <w:gridCol w:w="831"/>
        <w:gridCol w:w="846"/>
      </w:tblGrid>
      <w:tr>
        <w:trPr>
          <w:tblHeader w:val="true"/>
        </w:trPr>
        <w:tc>
          <w:tcPr>
            <w:tcW w:w="122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8,325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8,304</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8,304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8,304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AMN Common Stock acquired on the vesting of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were granted pursuant to the AMN Healthcare 2017 Equity Plan. Each RSU represents a contingent right to receive one share of AMN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identified in this row were granted on May 2, 2025 and vest on the earlier of (i) the one year anniversary of the grant date, or (ii) the date of the Company's Annual Meeting of Shareholders in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RSUs do not have an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RSUs were granted pursuant to the AMN Healthcare 2025 Equity Plan. Each RSU represents a contingent right to receive one share of AMN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RSUs identified in this row were granted on May 1, 2026 and vest on the earlier of (i) the one year anniversary of the grant date, or (ii) the date of the Company's Annual Meeting of Shareholders in 2027. At the reporting owner's irrevocable election, the number of RSUs identified in this row will settle on the date of the director's separation from service with the Company.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Whitney M. Laughlin, as attorney-in-fact on behalf of Daphne E. Jones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75924" TargetMode="External"/><Relationship Id="rId5" Type="http://schemas.openxmlformats.org/officeDocument/2006/relationships/hyperlink" Target="http://www.sec.gov/cgi-bin/browse-edgar?action=getcompany&amp;CIK=00011427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790</Words>
  <Characters>4084</Characters>
  <CharactersWithSpaces>4791</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