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____________________</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____________________</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5" w:lineRule="exact"/>
        <w:rPr>
          <w:sz w:val="24"/>
          <w:szCs w:val="24"/>
          <w:color w:val="auto"/>
        </w:rPr>
      </w:pPr>
    </w:p>
    <w:p>
      <w:pPr>
        <w:ind w:left="540" w:hanging="518"/>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color w:val="auto"/>
        </w:rPr>
        <w:t>ANNUAL REPORT PURSUANT TO SECTION 13 OR 15(d) OF THE SECURITIES EXCHANGE ACT OF 1934</w:t>
      </w:r>
    </w:p>
    <w:p>
      <w:pPr>
        <w:spacing w:after="0" w:line="1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47" w:lineRule="exact"/>
        <w:rPr>
          <w:sz w:val="24"/>
          <w:szCs w:val="24"/>
          <w:color w:val="auto"/>
        </w:rPr>
      </w:pPr>
    </w:p>
    <w:p>
      <w:pPr>
        <w:ind w:left="560" w:hanging="525"/>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color w:val="auto"/>
        </w:rPr>
        <w:t>TRANSITION REPORT PURSUANT TO SECTION 13 OR 15(d) OF THE SECURITIES EXCHANGE ACT OF 1934</w:t>
      </w:r>
    </w:p>
    <w:p>
      <w:pPr>
        <w:spacing w:after="0" w:line="148" w:lineRule="exact"/>
        <w:rPr>
          <w:sz w:val="24"/>
          <w:szCs w:val="24"/>
          <w:color w:val="auto"/>
        </w:rPr>
      </w:pPr>
    </w:p>
    <w:p>
      <w:pPr>
        <w:ind w:left="1000"/>
        <w:spacing w:after="0"/>
        <w:tabs>
          <w:tab w:leader="none" w:pos="438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1985645</wp:posOffset>
            </wp:positionH>
            <wp:positionV relativeFrom="paragraph">
              <wp:posOffset>-3810</wp:posOffset>
            </wp:positionV>
            <wp:extent cx="1695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5450" cy="8255"/>
                    </a:xfrm>
                    <a:prstGeom prst="rect">
                      <a:avLst/>
                    </a:prstGeom>
                    <a:noFill/>
                  </pic:spPr>
                </pic:pic>
              </a:graphicData>
            </a:graphic>
          </wp:anchor>
        </w:drawing>
      </w:r>
    </w:p>
    <w:p>
      <w:pPr>
        <w:spacing w:after="0" w:line="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Commission File No.: 001-16753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2817495</wp:posOffset>
            </wp:positionH>
            <wp:positionV relativeFrom="paragraph">
              <wp:posOffset>22225</wp:posOffset>
            </wp:positionV>
            <wp:extent cx="1515745" cy="516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5745" cy="516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AMN HEALTHCARE SERVICES, INC.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5" w:lineRule="exact"/>
        <w:rPr>
          <w:sz w:val="24"/>
          <w:szCs w:val="24"/>
          <w:color w:val="auto"/>
        </w:rPr>
      </w:pPr>
    </w:p>
    <w:tbl>
      <w:tblPr>
        <w:tblLayout w:type="fixed"/>
        <w:tblInd w:w="1500" w:type="dxa"/>
        <w:tblCellMar>
          <w:top w:w="0" w:type="dxa"/>
          <w:left w:w="0" w:type="dxa"/>
          <w:bottom w:w="0" w:type="dxa"/>
          <w:right w:w="0" w:type="dxa"/>
        </w:tblCellMar>
      </w:tblPr>
      <w:tr>
        <w:trPr>
          <w:trHeight w:val="219"/>
        </w:trPr>
        <w:tc>
          <w:tcPr>
            <w:tcW w:w="3040" w:type="dxa"/>
            <w:vAlign w:val="bottom"/>
          </w:tcPr>
          <w:p>
            <w:pPr>
              <w:jc w:val="center"/>
              <w:ind w:right="761"/>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600" w:type="dxa"/>
            <w:vAlign w:val="bottom"/>
          </w:tcPr>
          <w:p>
            <w:pPr>
              <w:spacing w:after="0"/>
              <w:rPr>
                <w:sz w:val="19"/>
                <w:szCs w:val="19"/>
                <w:color w:val="auto"/>
              </w:rPr>
            </w:pPr>
          </w:p>
        </w:tc>
        <w:tc>
          <w:tcPr>
            <w:tcW w:w="2120" w:type="dxa"/>
            <w:vAlign w:val="bottom"/>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rPr>
              <w:t>06-1500476</w:t>
            </w:r>
          </w:p>
        </w:tc>
      </w:tr>
      <w:tr>
        <w:trPr>
          <w:trHeight w:val="143"/>
        </w:trPr>
        <w:tc>
          <w:tcPr>
            <w:tcW w:w="3040" w:type="dxa"/>
            <w:vAlign w:val="bottom"/>
          </w:tcPr>
          <w:p>
            <w:pPr>
              <w:jc w:val="center"/>
              <w:ind w:right="761"/>
              <w:spacing w:after="0" w:line="143" w:lineRule="exact"/>
              <w:rPr>
                <w:sz w:val="20"/>
                <w:szCs w:val="20"/>
                <w:color w:val="auto"/>
              </w:rPr>
            </w:pPr>
            <w:r>
              <w:rPr>
                <w:rFonts w:ascii="Times New Roman" w:cs="Times New Roman" w:eastAsia="Times New Roman" w:hAnsi="Times New Roman"/>
                <w:sz w:val="14"/>
                <w:szCs w:val="14"/>
                <w:i w:val="1"/>
                <w:iCs w:val="1"/>
                <w:color w:val="auto"/>
                <w:w w:val="99"/>
              </w:rPr>
              <w:t>(State or Other Jurisdiction of</w:t>
            </w:r>
          </w:p>
        </w:tc>
        <w:tc>
          <w:tcPr>
            <w:tcW w:w="2600" w:type="dxa"/>
            <w:vAlign w:val="bottom"/>
          </w:tcPr>
          <w:p>
            <w:pPr>
              <w:spacing w:after="0"/>
              <w:rPr>
                <w:sz w:val="12"/>
                <w:szCs w:val="12"/>
                <w:color w:val="auto"/>
              </w:rPr>
            </w:pPr>
          </w:p>
        </w:tc>
        <w:tc>
          <w:tcPr>
            <w:tcW w:w="2120" w:type="dxa"/>
            <w:vAlign w:val="bottom"/>
          </w:tcPr>
          <w:p>
            <w:pPr>
              <w:jc w:val="center"/>
              <w:ind w:left="1003"/>
              <w:spacing w:after="0" w:line="143" w:lineRule="exact"/>
              <w:rPr>
                <w:sz w:val="20"/>
                <w:szCs w:val="20"/>
                <w:color w:val="auto"/>
              </w:rPr>
            </w:pPr>
            <w:r>
              <w:rPr>
                <w:rFonts w:ascii="Times New Roman" w:cs="Times New Roman" w:eastAsia="Times New Roman" w:hAnsi="Times New Roman"/>
                <w:sz w:val="14"/>
                <w:szCs w:val="14"/>
                <w:i w:val="1"/>
                <w:iCs w:val="1"/>
                <w:color w:val="auto"/>
                <w:w w:val="98"/>
              </w:rPr>
              <w:t>(I.R.S. Employer</w:t>
            </w:r>
          </w:p>
        </w:tc>
      </w:tr>
      <w:tr>
        <w:trPr>
          <w:trHeight w:val="185"/>
        </w:trPr>
        <w:tc>
          <w:tcPr>
            <w:tcW w:w="3040" w:type="dxa"/>
            <w:vAlign w:val="bottom"/>
          </w:tcPr>
          <w:p>
            <w:pPr>
              <w:jc w:val="center"/>
              <w:ind w:right="761"/>
              <w:spacing w:after="0"/>
              <w:rPr>
                <w:sz w:val="20"/>
                <w:szCs w:val="20"/>
                <w:color w:val="auto"/>
              </w:rPr>
            </w:pPr>
            <w:r>
              <w:rPr>
                <w:rFonts w:ascii="Times New Roman" w:cs="Times New Roman" w:eastAsia="Times New Roman" w:hAnsi="Times New Roman"/>
                <w:sz w:val="14"/>
                <w:szCs w:val="14"/>
                <w:i w:val="1"/>
                <w:iCs w:val="1"/>
                <w:color w:val="auto"/>
                <w:w w:val="99"/>
              </w:rPr>
              <w:t>Incorporation or Organization)</w:t>
            </w:r>
          </w:p>
        </w:tc>
        <w:tc>
          <w:tcPr>
            <w:tcW w:w="2600" w:type="dxa"/>
            <w:vAlign w:val="bottom"/>
          </w:tcPr>
          <w:p>
            <w:pPr>
              <w:spacing w:after="0"/>
              <w:rPr>
                <w:sz w:val="16"/>
                <w:szCs w:val="16"/>
                <w:color w:val="auto"/>
              </w:rPr>
            </w:pPr>
          </w:p>
        </w:tc>
        <w:tc>
          <w:tcPr>
            <w:tcW w:w="2120" w:type="dxa"/>
            <w:vAlign w:val="bottom"/>
          </w:tcPr>
          <w:p>
            <w:pPr>
              <w:jc w:val="center"/>
              <w:ind w:left="1003"/>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r>
        <w:trPr>
          <w:trHeight w:val="280"/>
        </w:trPr>
        <w:tc>
          <w:tcPr>
            <w:tcW w:w="3040" w:type="dxa"/>
            <w:vAlign w:val="bottom"/>
          </w:tcPr>
          <w:p>
            <w:pPr>
              <w:jc w:val="center"/>
              <w:ind w:right="761"/>
              <w:spacing w:after="0"/>
              <w:rPr>
                <w:sz w:val="20"/>
                <w:szCs w:val="20"/>
                <w:color w:val="auto"/>
              </w:rPr>
            </w:pPr>
            <w:r>
              <w:rPr>
                <w:rFonts w:ascii="Times New Roman" w:cs="Times New Roman" w:eastAsia="Times New Roman" w:hAnsi="Times New Roman"/>
                <w:sz w:val="17"/>
                <w:szCs w:val="17"/>
                <w:b w:val="1"/>
                <w:bCs w:val="1"/>
                <w:color w:val="auto"/>
              </w:rPr>
              <w:t>2999 Olympus Boulevard</w:t>
            </w:r>
          </w:p>
        </w:tc>
        <w:tc>
          <w:tcPr>
            <w:tcW w:w="260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Suite 500</w:t>
            </w:r>
          </w:p>
        </w:tc>
        <w:tc>
          <w:tcPr>
            <w:tcW w:w="2120" w:type="dxa"/>
            <w:vAlign w:val="bottom"/>
          </w:tcPr>
          <w:p>
            <w:pPr>
              <w:spacing w:after="0"/>
              <w:rPr>
                <w:sz w:val="24"/>
                <w:szCs w:val="24"/>
                <w:color w:val="auto"/>
              </w:rPr>
            </w:pPr>
          </w:p>
        </w:tc>
      </w:tr>
      <w:tr>
        <w:trPr>
          <w:trHeight w:val="219"/>
        </w:trPr>
        <w:tc>
          <w:tcPr>
            <w:tcW w:w="3040" w:type="dxa"/>
            <w:vAlign w:val="bottom"/>
          </w:tcPr>
          <w:p>
            <w:pPr>
              <w:jc w:val="center"/>
              <w:ind w:right="761"/>
              <w:spacing w:after="0"/>
              <w:rPr>
                <w:sz w:val="20"/>
                <w:szCs w:val="20"/>
                <w:color w:val="auto"/>
              </w:rPr>
            </w:pPr>
            <w:r>
              <w:rPr>
                <w:rFonts w:ascii="Times New Roman" w:cs="Times New Roman" w:eastAsia="Times New Roman" w:hAnsi="Times New Roman"/>
                <w:sz w:val="17"/>
                <w:szCs w:val="17"/>
                <w:b w:val="1"/>
                <w:bCs w:val="1"/>
                <w:color w:val="auto"/>
              </w:rPr>
              <w:t>Dallas</w:t>
            </w:r>
          </w:p>
        </w:tc>
        <w:tc>
          <w:tcPr>
            <w:tcW w:w="260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8"/>
              </w:rPr>
              <w:t>Texas</w:t>
            </w:r>
          </w:p>
        </w:tc>
        <w:tc>
          <w:tcPr>
            <w:tcW w:w="2120" w:type="dxa"/>
            <w:vAlign w:val="bottom"/>
          </w:tcPr>
          <w:p>
            <w:pPr>
              <w:jc w:val="right"/>
              <w:ind w:right="223"/>
              <w:spacing w:after="0"/>
              <w:rPr>
                <w:sz w:val="20"/>
                <w:szCs w:val="20"/>
                <w:color w:val="auto"/>
              </w:rPr>
            </w:pPr>
            <w:r>
              <w:rPr>
                <w:rFonts w:ascii="Times New Roman" w:cs="Times New Roman" w:eastAsia="Times New Roman" w:hAnsi="Times New Roman"/>
                <w:sz w:val="17"/>
                <w:szCs w:val="17"/>
                <w:b w:val="1"/>
                <w:bCs w:val="1"/>
                <w:color w:val="auto"/>
              </w:rPr>
              <w:t>75019</w:t>
            </w:r>
          </w:p>
        </w:tc>
      </w:tr>
      <w:tr>
        <w:trPr>
          <w:trHeight w:val="185"/>
        </w:trPr>
        <w:tc>
          <w:tcPr>
            <w:tcW w:w="3040" w:type="dxa"/>
            <w:vAlign w:val="bottom"/>
          </w:tcPr>
          <w:p>
            <w:pPr>
              <w:jc w:val="center"/>
              <w:ind w:right="761"/>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600" w:type="dxa"/>
            <w:vAlign w:val="bottom"/>
          </w:tcPr>
          <w:p>
            <w:pPr>
              <w:spacing w:after="0"/>
              <w:rPr>
                <w:sz w:val="16"/>
                <w:szCs w:val="16"/>
                <w:color w:val="auto"/>
              </w:rPr>
            </w:pPr>
          </w:p>
        </w:tc>
        <w:tc>
          <w:tcPr>
            <w:tcW w:w="2120" w:type="dxa"/>
            <w:vAlign w:val="bottom"/>
          </w:tcPr>
          <w:p>
            <w:pPr>
              <w:jc w:val="center"/>
              <w:ind w:left="1003"/>
              <w:spacing w:after="0"/>
              <w:rPr>
                <w:sz w:val="20"/>
                <w:szCs w:val="20"/>
                <w:color w:val="auto"/>
              </w:rPr>
            </w:pPr>
            <w:r>
              <w:rPr>
                <w:rFonts w:ascii="Times New Roman" w:cs="Times New Roman" w:eastAsia="Times New Roman" w:hAnsi="Times New Roman"/>
                <w:sz w:val="14"/>
                <w:szCs w:val="14"/>
                <w:i w:val="1"/>
                <w:iCs w:val="1"/>
                <w:color w:val="auto"/>
                <w:w w:val="98"/>
              </w:rPr>
              <w:t>(Zip Code)</w:t>
            </w:r>
          </w:p>
        </w:tc>
      </w:tr>
    </w:tbl>
    <w:p>
      <w:pPr>
        <w:spacing w:after="0" w:line="3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(866) 871-8519</w:t>
      </w:r>
    </w:p>
    <w:p>
      <w:pPr>
        <w:spacing w:after="0" w:line="3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____________________</w:t>
      </w:r>
    </w:p>
    <w:p>
      <w:pPr>
        <w:spacing w:after="0" w:line="226" w:lineRule="exact"/>
        <w:rPr>
          <w:sz w:val="24"/>
          <w:szCs w:val="24"/>
          <w:color w:val="auto"/>
        </w:rPr>
      </w:pPr>
    </w:p>
    <w:tbl>
      <w:tblPr>
        <w:tblLayout w:type="fixed"/>
        <w:tblInd w:w="6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r>
      <w:tr>
        <w:trPr>
          <w:trHeight w:val="210"/>
        </w:trPr>
        <w:tc>
          <w:tcPr>
            <w:tcW w:w="460" w:type="dxa"/>
            <w:vAlign w:val="bottom"/>
          </w:tcPr>
          <w:p>
            <w:pPr>
              <w:spacing w:after="0"/>
              <w:rPr>
                <w:sz w:val="18"/>
                <w:szCs w:val="18"/>
                <w:color w:val="auto"/>
              </w:rPr>
            </w:pPr>
          </w:p>
        </w:tc>
        <w:tc>
          <w:tcPr>
            <w:tcW w:w="214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rPr>
              <w:t>Title of Each Class</w:t>
            </w:r>
          </w:p>
        </w:tc>
        <w:tc>
          <w:tcPr>
            <w:tcW w:w="1540" w:type="dxa"/>
            <w:vAlign w:val="bottom"/>
          </w:tcPr>
          <w:p>
            <w:pPr>
              <w:spacing w:after="0"/>
              <w:rPr>
                <w:sz w:val="18"/>
                <w:szCs w:val="18"/>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rPr>
              <w:t>Trading Symbol</w:t>
            </w:r>
          </w:p>
        </w:tc>
        <w:tc>
          <w:tcPr>
            <w:tcW w:w="4080" w:type="dxa"/>
            <w:vAlign w:val="bottom"/>
            <w:gridSpan w:val="2"/>
          </w:tcPr>
          <w:p>
            <w:pPr>
              <w:jc w:val="center"/>
              <w:ind w:left="733"/>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42"/>
        </w:trPr>
        <w:tc>
          <w:tcPr>
            <w:tcW w:w="260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1540" w:type="dxa"/>
            <w:vAlign w:val="bottom"/>
          </w:tcPr>
          <w:p>
            <w:pPr>
              <w:spacing w:after="0"/>
              <w:rPr>
                <w:sz w:val="21"/>
                <w:szCs w:val="21"/>
                <w:color w:val="auto"/>
              </w:rPr>
            </w:pPr>
          </w:p>
        </w:tc>
        <w:tc>
          <w:tcPr>
            <w:tcW w:w="196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rPr>
              <w:t>AMN</w:t>
            </w:r>
          </w:p>
        </w:tc>
        <w:tc>
          <w:tcPr>
            <w:tcW w:w="82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None.</w:t>
      </w:r>
    </w:p>
    <w:p>
      <w:pPr>
        <w:spacing w:after="0" w:line="10" w:lineRule="exact"/>
        <w:rPr>
          <w:sz w:val="24"/>
          <w:szCs w:val="24"/>
          <w:color w:val="auto"/>
        </w:rPr>
      </w:pPr>
    </w:p>
    <w:p>
      <w:pPr>
        <w:ind w:left="440" w:right="1220"/>
        <w:spacing w:after="0" w:line="252"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8" w:lineRule="exact"/>
        <w:rPr>
          <w:sz w:val="24"/>
          <w:szCs w:val="24"/>
          <w:color w:val="auto"/>
        </w:rPr>
      </w:pPr>
    </w:p>
    <w:p>
      <w:pPr>
        <w:ind w:right="60" w:firstLine="433"/>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firstLine="433"/>
        <w:spacing w:after="0" w:line="20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firstLine="393"/>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532" w:right="399" w:bottom="0" w:gutter="0" w:footer="0" w:header="0"/>
        </w:sectPr>
      </w:pPr>
    </w:p>
    <w:p>
      <w:pPr>
        <w:spacing w:after="0" w:line="23" w:lineRule="exact"/>
        <w:rPr>
          <w:sz w:val="24"/>
          <w:szCs w:val="24"/>
          <w:color w:val="auto"/>
        </w:rPr>
      </w:pPr>
    </w:p>
    <w:p>
      <w:pPr>
        <w:ind w:left="20"/>
        <w:spacing w:after="0" w:line="313" w:lineRule="auto"/>
        <w:rPr>
          <w:sz w:val="20"/>
          <w:szCs w:val="20"/>
          <w:color w:val="auto"/>
        </w:rPr>
      </w:pPr>
      <w:r>
        <w:rPr>
          <w:rFonts w:ascii="Times New Roman" w:cs="Times New Roman" w:eastAsia="Times New Roman" w:hAnsi="Times New Roman"/>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6">
            <w:col w:w="2040" w:space="640"/>
            <w:col w:w="300" w:space="720"/>
            <w:col w:w="1980" w:space="680"/>
            <w:col w:w="300" w:space="720"/>
            <w:col w:w="1800" w:space="720"/>
            <w:col w:w="1280"/>
          </w:cols>
          <w:pgMar w:left="320" w:top="532" w:right="399" w:bottom="0" w:gutter="0" w:footer="0" w:header="0"/>
          <w:type w:val="continuous"/>
        </w:sectPr>
      </w:pPr>
    </w:p>
    <w:p>
      <w:pPr>
        <w:ind w:firstLine="433"/>
        <w:spacing w:after="0" w:line="28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 w:lineRule="exact"/>
        <w:rPr>
          <w:sz w:val="24"/>
          <w:szCs w:val="24"/>
          <w:color w:val="auto"/>
        </w:rPr>
      </w:pPr>
    </w:p>
    <w:p>
      <w:pPr>
        <w:ind w:right="120" w:firstLine="433"/>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 w:lineRule="exact"/>
        <w:rPr>
          <w:sz w:val="24"/>
          <w:szCs w:val="24"/>
          <w:color w:val="auto"/>
        </w:rPr>
      </w:pPr>
    </w:p>
    <w:p>
      <w:pPr>
        <w:ind w:right="120" w:firstLine="433"/>
        <w:spacing w:after="0" w:line="289"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7"/>
          <w:szCs w:val="17"/>
          <w:b w:val="1"/>
          <w:bCs w:val="1"/>
          <w:color w:val="auto"/>
        </w:rPr>
        <w:t>o</w:t>
      </w:r>
    </w:p>
    <w:p>
      <w:pPr>
        <w:spacing w:after="0" w:line="1" w:lineRule="exact"/>
        <w:rPr>
          <w:sz w:val="24"/>
          <w:szCs w:val="24"/>
          <w:color w:val="auto"/>
        </w:rPr>
      </w:pPr>
    </w:p>
    <w:p>
      <w:pPr>
        <w:ind w:right="560" w:firstLine="433"/>
        <w:spacing w:after="0" w:line="268"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7"/>
          <w:szCs w:val="17"/>
          <w:b w:val="1"/>
          <w:bCs w:val="1"/>
          <w:color w:val="auto"/>
        </w:rPr>
        <w:t>o</w:t>
      </w:r>
    </w:p>
    <w:p>
      <w:pPr>
        <w:spacing w:after="0" w:line="1" w:lineRule="exact"/>
        <w:rPr>
          <w:sz w:val="24"/>
          <w:szCs w:val="24"/>
          <w:color w:val="auto"/>
        </w:rPr>
      </w:pPr>
    </w:p>
    <w:p>
      <w:pPr>
        <w:ind w:left="44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01" w:lineRule="exact"/>
        <w:rPr>
          <w:sz w:val="24"/>
          <w:szCs w:val="24"/>
          <w:color w:val="auto"/>
        </w:rPr>
      </w:pPr>
    </w:p>
    <w:p>
      <w:pPr>
        <w:jc w:val="both"/>
        <w:ind w:right="60" w:firstLine="433"/>
        <w:spacing w:after="0" w:line="277"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computed by reference to the price at which the common equity was last sold, or the average bid and asked price of such common equity, as of June 30, 2025, was $787,746,040 based on a closing sale price of $20.67 per share.</w:t>
      </w:r>
    </w:p>
    <w:p>
      <w:pPr>
        <w:spacing w:after="0" w:line="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February 17, 2026, there were 38,641,082 shares of common stock, $0.01 par value, outstanding.</w:t>
      </w:r>
    </w:p>
    <w:p>
      <w:pPr>
        <w:spacing w:after="0" w:line="6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69" w:lineRule="exact"/>
        <w:rPr>
          <w:sz w:val="24"/>
          <w:szCs w:val="24"/>
          <w:color w:val="auto"/>
        </w:rPr>
      </w:pPr>
    </w:p>
    <w:p>
      <w:pPr>
        <w:ind w:right="420" w:firstLine="433"/>
        <w:spacing w:after="0" w:line="277"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annual meeting of stockholders, scheduled to be held on May 1, 2026, have been incorporated by reference into Part III of this Form 10-K. The definitive proxy statement will be filed within 120 days of the registrant’s fiscal year ended December 31, 2025.</w:t>
      </w:r>
    </w:p>
    <w:p>
      <w:pPr>
        <w:spacing w:after="0" w:line="294" w:lineRule="exact"/>
        <w:rPr>
          <w:sz w:val="24"/>
          <w:szCs w:val="24"/>
          <w:color w:val="auto"/>
        </w:rPr>
      </w:pPr>
    </w:p>
    <w:p>
      <w:pPr>
        <w:ind w:left="400"/>
        <w:spacing w:after="0"/>
        <w:tabs>
          <w:tab w:leader="none" w:pos="2660" w:val="left"/>
          <w:tab w:leader="none" w:pos="5840" w:val="left"/>
        </w:tabs>
        <w:rPr>
          <w:sz w:val="20"/>
          <w:szCs w:val="20"/>
          <w:color w:val="auto"/>
        </w:rPr>
      </w:pPr>
      <w:r>
        <w:rPr>
          <w:rFonts w:ascii="Times New Roman" w:cs="Times New Roman" w:eastAsia="Times New Roman" w:hAnsi="Times New Roman"/>
          <w:sz w:val="17"/>
          <w:szCs w:val="17"/>
          <w:color w:val="auto"/>
        </w:rPr>
        <w:t>Auditor Name: KPMG LLP</w:t>
      </w:r>
      <w:r>
        <w:rPr>
          <w:sz w:val="20"/>
          <w:szCs w:val="20"/>
          <w:color w:val="auto"/>
        </w:rPr>
        <w:tab/>
      </w:r>
      <w:r>
        <w:rPr>
          <w:rFonts w:ascii="Times New Roman" w:cs="Times New Roman" w:eastAsia="Times New Roman" w:hAnsi="Times New Roman"/>
          <w:sz w:val="17"/>
          <w:szCs w:val="17"/>
          <w:color w:val="auto"/>
        </w:rPr>
        <w:t>Auditor Location: San Diego, California</w:t>
      </w:r>
      <w:r>
        <w:rPr>
          <w:sz w:val="20"/>
          <w:szCs w:val="20"/>
          <w:color w:val="auto"/>
        </w:rPr>
        <w:tab/>
      </w:r>
      <w:r>
        <w:rPr>
          <w:rFonts w:ascii="Times New Roman" w:cs="Times New Roman" w:eastAsia="Times New Roman" w:hAnsi="Times New Roman"/>
          <w:sz w:val="17"/>
          <w:szCs w:val="17"/>
          <w:color w:val="auto"/>
        </w:rPr>
        <w:t>Auditor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19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70485</wp:posOffset>
            </wp:positionV>
            <wp:extent cx="71196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ectPr>
          <w:pgSz w:w="11900" w:h="16838" w:orient="portrait"/>
          <w:cols w:equalWidth="0" w:num="1">
            <w:col w:w="11180"/>
          </w:cols>
          <w:pgMar w:left="320" w:top="532" w:right="39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683895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80" w:type="dxa"/>
            <w:vAlign w:val="bottom"/>
            <w:gridSpan w:val="9"/>
          </w:tcPr>
          <w:p>
            <w:pPr>
              <w:ind w:left="7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41"/>
        </w:trPr>
        <w:tc>
          <w:tcPr>
            <w:tcW w:w="7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Item</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65"/>
        </w:trPr>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7"/>
          </w:tcPr>
          <w:p>
            <w:pPr>
              <w:jc w:val="center"/>
              <w:ind w:right="46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4"/>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9180" w:type="dxa"/>
            <w:vAlign w:val="bottom"/>
            <w:gridSpan w:val="22"/>
          </w:tcPr>
          <w:p>
            <w:pPr>
              <w:spacing w:after="0"/>
              <w:rPr>
                <w:sz w:val="24"/>
                <w:szCs w:val="24"/>
                <w:color w:val="auto"/>
              </w:rPr>
            </w:pP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1</w:t>
            </w:r>
          </w:p>
        </w:tc>
      </w:tr>
      <w:tr>
        <w:trPr>
          <w:trHeight w:val="20"/>
        </w:trPr>
        <w:tc>
          <w:tcPr>
            <w:tcW w:w="740" w:type="dxa"/>
            <w:vAlign w:val="bottom"/>
            <w:gridSpan w:val="3"/>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1A.</w:t>
            </w: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8</w:t>
            </w:r>
          </w:p>
        </w:tc>
      </w:tr>
      <w:tr>
        <w:trPr>
          <w:trHeight w:val="20"/>
        </w:trPr>
        <w:tc>
          <w:tcPr>
            <w:tcW w:w="740" w:type="dxa"/>
            <w:vAlign w:val="bottom"/>
            <w:gridSpan w:val="3"/>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1B.</w:t>
            </w:r>
          </w:p>
        </w:tc>
        <w:tc>
          <w:tcPr>
            <w:tcW w:w="1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7820" w:type="dxa"/>
            <w:vAlign w:val="bottom"/>
            <w:gridSpan w:val="12"/>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19</w:t>
            </w:r>
          </w:p>
        </w:tc>
        <w:tc>
          <w:tcPr>
            <w:tcW w:w="40" w:type="dxa"/>
            <w:vAlign w:val="bottom"/>
          </w:tcPr>
          <w:p>
            <w:pPr>
              <w:spacing w:after="0"/>
              <w:rPr>
                <w:sz w:val="17"/>
                <w:szCs w:val="17"/>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1C.</w:t>
            </w:r>
          </w:p>
        </w:tc>
        <w:tc>
          <w:tcPr>
            <w:tcW w:w="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882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19</w:t>
            </w:r>
          </w:p>
        </w:tc>
        <w:tc>
          <w:tcPr>
            <w:tcW w:w="40" w:type="dxa"/>
            <w:vAlign w:val="bottom"/>
          </w:tcPr>
          <w:p>
            <w:pPr>
              <w:spacing w:after="0"/>
              <w:rPr>
                <w:sz w:val="17"/>
                <w:szCs w:val="17"/>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9100" w:type="dxa"/>
            <w:vAlign w:val="bottom"/>
            <w:gridSpan w:val="2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20</w:t>
            </w:r>
          </w:p>
        </w:tc>
        <w:tc>
          <w:tcPr>
            <w:tcW w:w="40" w:type="dxa"/>
            <w:vAlign w:val="bottom"/>
          </w:tcPr>
          <w:p>
            <w:pPr>
              <w:spacing w:after="0"/>
              <w:rPr>
                <w:sz w:val="17"/>
                <w:szCs w:val="17"/>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40" w:type="dxa"/>
            <w:vAlign w:val="bottom"/>
          </w:tcPr>
          <w:p>
            <w:pPr>
              <w:spacing w:after="0"/>
              <w:rPr>
                <w:sz w:val="17"/>
                <w:szCs w:val="17"/>
                <w:color w:val="auto"/>
              </w:rPr>
            </w:pPr>
          </w:p>
        </w:tc>
      </w:tr>
      <w:tr>
        <w:trPr>
          <w:trHeight w:val="452"/>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7"/>
          </w:tcPr>
          <w:p>
            <w:pPr>
              <w:jc w:val="center"/>
              <w:ind w:right="458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94"/>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96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21</w:t>
            </w:r>
          </w:p>
        </w:tc>
        <w:tc>
          <w:tcPr>
            <w:tcW w:w="40" w:type="dxa"/>
            <w:vAlign w:val="bottom"/>
          </w:tcPr>
          <w:p>
            <w:pPr>
              <w:spacing w:after="0"/>
              <w:rPr>
                <w:sz w:val="24"/>
                <w:szCs w:val="24"/>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[Reserved]</w:t>
            </w:r>
          </w:p>
        </w:tc>
        <w:tc>
          <w:tcPr>
            <w:tcW w:w="9040" w:type="dxa"/>
            <w:vAlign w:val="bottom"/>
            <w:gridSpan w:val="19"/>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22</w:t>
            </w:r>
          </w:p>
        </w:tc>
        <w:tc>
          <w:tcPr>
            <w:tcW w:w="40" w:type="dxa"/>
            <w:vAlign w:val="bottom"/>
          </w:tcPr>
          <w:p>
            <w:pPr>
              <w:spacing w:after="0"/>
              <w:rPr>
                <w:sz w:val="17"/>
                <w:szCs w:val="17"/>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23</w:t>
            </w:r>
          </w:p>
        </w:tc>
        <w:tc>
          <w:tcPr>
            <w:tcW w:w="40" w:type="dxa"/>
            <w:vAlign w:val="bottom"/>
          </w:tcPr>
          <w:p>
            <w:pPr>
              <w:spacing w:after="0"/>
              <w:rPr>
                <w:sz w:val="17"/>
                <w:szCs w:val="17"/>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7A.</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80" w:type="dxa"/>
            <w:vAlign w:val="bottom"/>
            <w:tcBorders>
              <w:top w:val="single" w:sz="8" w:color="0000FF"/>
            </w:tcBorders>
            <w:gridSpan w:val="3"/>
          </w:tcPr>
          <w:p>
            <w:pPr>
              <w:spacing w:after="0"/>
              <w:rPr>
                <w:sz w:val="17"/>
                <w:szCs w:val="17"/>
                <w:color w:val="auto"/>
              </w:rPr>
            </w:pPr>
          </w:p>
        </w:tc>
        <w:tc>
          <w:tcPr>
            <w:tcW w:w="3540" w:type="dxa"/>
            <w:vAlign w:val="bottom"/>
            <w:gridSpan w:val="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35</w:t>
            </w:r>
          </w:p>
        </w:tc>
        <w:tc>
          <w:tcPr>
            <w:tcW w:w="40" w:type="dxa"/>
            <w:vAlign w:val="bottom"/>
          </w:tcPr>
          <w:p>
            <w:pPr>
              <w:spacing w:after="0"/>
              <w:rPr>
                <w:sz w:val="17"/>
                <w:szCs w:val="17"/>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70</w:t>
            </w:r>
          </w:p>
        </w:tc>
        <w:tc>
          <w:tcPr>
            <w:tcW w:w="40" w:type="dxa"/>
            <w:vAlign w:val="bottom"/>
          </w:tcPr>
          <w:p>
            <w:pPr>
              <w:spacing w:after="0"/>
              <w:rPr>
                <w:sz w:val="17"/>
                <w:szCs w:val="17"/>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9A.</w:t>
            </w:r>
          </w:p>
        </w:tc>
        <w:tc>
          <w:tcPr>
            <w:tcW w:w="63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480" w:type="dxa"/>
            <w:vAlign w:val="bottom"/>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70</w:t>
            </w:r>
          </w:p>
        </w:tc>
        <w:tc>
          <w:tcPr>
            <w:tcW w:w="40" w:type="dxa"/>
            <w:vAlign w:val="bottom"/>
          </w:tcPr>
          <w:p>
            <w:pPr>
              <w:spacing w:after="0"/>
              <w:rPr>
                <w:sz w:val="17"/>
                <w:szCs w:val="17"/>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9B.</w:t>
            </w:r>
          </w:p>
        </w:tc>
        <w:tc>
          <w:tcPr>
            <w:tcW w:w="1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100" w:type="dxa"/>
            <w:vAlign w:val="bottom"/>
            <w:gridSpan w:val="1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40" w:type="dxa"/>
            <w:vAlign w:val="bottom"/>
          </w:tcPr>
          <w:p>
            <w:pPr>
              <w:spacing w:after="0"/>
              <w:rPr>
                <w:sz w:val="17"/>
                <w:szCs w:val="17"/>
                <w:color w:val="auto"/>
              </w:rPr>
            </w:pPr>
          </w:p>
        </w:tc>
      </w:tr>
      <w:tr>
        <w:trPr>
          <w:trHeight w:val="20"/>
        </w:trPr>
        <w:tc>
          <w:tcPr>
            <w:tcW w:w="740" w:type="dxa"/>
            <w:vAlign w:val="bottom"/>
            <w:gridSpan w:val="3"/>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9C.</w:t>
            </w: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2"/>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7"/>
          </w:tcPr>
          <w:p>
            <w:pPr>
              <w:jc w:val="center"/>
              <w:ind w:right="4600"/>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4"/>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24"/>
                <w:szCs w:val="24"/>
                <w:color w:val="auto"/>
              </w:rPr>
            </w:pPr>
          </w:p>
        </w:tc>
        <w:tc>
          <w:tcPr>
            <w:tcW w:w="5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520" w:type="dxa"/>
            <w:vAlign w:val="bottom"/>
            <w:gridSpan w:val="5"/>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40" w:type="dxa"/>
            <w:vAlign w:val="bottom"/>
          </w:tcPr>
          <w:p>
            <w:pPr>
              <w:spacing w:after="0"/>
              <w:rPr>
                <w:sz w:val="24"/>
                <w:szCs w:val="24"/>
                <w:color w:val="auto"/>
              </w:rPr>
            </w:pPr>
          </w:p>
        </w:tc>
      </w:tr>
      <w:tr>
        <w:trPr>
          <w:trHeight w:val="20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40" w:type="dxa"/>
            <w:vAlign w:val="bottom"/>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spacing w:after="0"/>
              <w:rPr>
                <w:sz w:val="17"/>
                <w:szCs w:val="17"/>
                <w:color w:val="auto"/>
              </w:rPr>
            </w:pPr>
          </w:p>
        </w:tc>
        <w:tc>
          <w:tcPr>
            <w:tcW w:w="9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4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40" w:type="dxa"/>
            <w:vAlign w:val="bottom"/>
          </w:tcPr>
          <w:p>
            <w:pPr>
              <w:spacing w:after="0"/>
              <w:rPr>
                <w:sz w:val="17"/>
                <w:szCs w:val="17"/>
                <w:color w:val="auto"/>
              </w:rPr>
            </w:pPr>
          </w:p>
        </w:tc>
      </w:tr>
      <w:tr>
        <w:trPr>
          <w:trHeight w:val="20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74</w:t>
            </w:r>
          </w:p>
        </w:tc>
        <w:tc>
          <w:tcPr>
            <w:tcW w:w="40" w:type="dxa"/>
            <w:vAlign w:val="bottom"/>
          </w:tcPr>
          <w:p>
            <w:pPr>
              <w:spacing w:after="0"/>
              <w:rPr>
                <w:sz w:val="17"/>
                <w:szCs w:val="17"/>
                <w:color w:val="auto"/>
              </w:rPr>
            </w:pPr>
          </w:p>
        </w:tc>
      </w:tr>
      <w:tr>
        <w:trPr>
          <w:trHeight w:val="20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7"/>
                <w:szCs w:val="17"/>
                <w:color w:val="auto"/>
              </w:rPr>
            </w:pPr>
          </w:p>
        </w:tc>
        <w:tc>
          <w:tcPr>
            <w:tcW w:w="52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4520" w:type="dxa"/>
            <w:vAlign w:val="bottom"/>
            <w:gridSpan w:val="5"/>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74</w:t>
            </w:r>
          </w:p>
        </w:tc>
        <w:tc>
          <w:tcPr>
            <w:tcW w:w="40" w:type="dxa"/>
            <w:vAlign w:val="bottom"/>
          </w:tcPr>
          <w:p>
            <w:pPr>
              <w:spacing w:after="0"/>
              <w:rPr>
                <w:sz w:val="17"/>
                <w:szCs w:val="17"/>
                <w:color w:val="auto"/>
              </w:rPr>
            </w:pPr>
          </w:p>
        </w:tc>
      </w:tr>
      <w:tr>
        <w:trPr>
          <w:trHeight w:val="452"/>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7"/>
          </w:tcPr>
          <w:p>
            <w:pPr>
              <w:jc w:val="center"/>
              <w:ind w:right="460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94"/>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tcPr>
          <w:p>
            <w:pPr>
              <w:spacing w:after="0"/>
              <w:rPr>
                <w:sz w:val="24"/>
                <w:szCs w:val="24"/>
                <w:color w:val="auto"/>
              </w:rPr>
            </w:pPr>
          </w:p>
        </w:tc>
        <w:tc>
          <w:tcPr>
            <w:tcW w:w="3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740" w:type="dxa"/>
            <w:vAlign w:val="bottom"/>
            <w:gridSpan w:val="10"/>
          </w:tcPr>
          <w:p>
            <w:pPr>
              <w:spacing w:after="0"/>
              <w:rPr>
                <w:sz w:val="24"/>
                <w:szCs w:val="24"/>
                <w:color w:val="auto"/>
              </w:rPr>
            </w:pPr>
          </w:p>
        </w:tc>
        <w:tc>
          <w:tcPr>
            <w:tcW w:w="48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75</w:t>
            </w:r>
          </w:p>
        </w:tc>
        <w:tc>
          <w:tcPr>
            <w:tcW w:w="40" w:type="dxa"/>
            <w:vAlign w:val="bottom"/>
          </w:tcPr>
          <w:p>
            <w:pPr>
              <w:spacing w:after="0"/>
              <w:rPr>
                <w:sz w:val="24"/>
                <w:szCs w:val="24"/>
                <w:color w:val="auto"/>
              </w:rPr>
            </w:pPr>
          </w:p>
        </w:tc>
      </w:tr>
      <w:tr>
        <w:trPr>
          <w:trHeight w:val="203"/>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17"/>
                <w:szCs w:val="17"/>
                <w:color w:val="auto"/>
              </w:rPr>
            </w:pPr>
          </w:p>
        </w:tc>
        <w:tc>
          <w:tcPr>
            <w:tcW w:w="1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8300" w:type="dxa"/>
            <w:vAlign w:val="bottom"/>
            <w:gridSpan w:val="15"/>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80</w:t>
            </w:r>
          </w:p>
        </w:tc>
        <w:tc>
          <w:tcPr>
            <w:tcW w:w="4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81</w:t>
            </w:r>
          </w:p>
        </w:tc>
        <w:tc>
          <w:tcPr>
            <w:tcW w:w="40" w:type="dxa"/>
            <w:vAlign w:val="bottom"/>
          </w:tcPr>
          <w:p>
            <w:pPr>
              <w:spacing w:after="0"/>
              <w:rPr>
                <w:sz w:val="17"/>
                <w:szCs w:val="17"/>
                <w:color w:val="auto"/>
              </w:rPr>
            </w:pPr>
          </w:p>
        </w:tc>
      </w:tr>
      <w:tr>
        <w:trPr>
          <w:trHeight w:val="1193"/>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24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 xml:space="preserve">References in this Annual Report on Form 10-K to “AMN Healthcare,” “AMN,” the “Company,” “we,” “us” and “our” refer to AMN Healthcare Services, Inc. and its wholly owned subsidiaries. This Annual Report contains references to our trademarks and service marks. For convenience, trademarks, service marks and trade names referred to in this Annual Report do not appear with the ®, </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symbols, but the lack of references is not intended to indicate that we will not assert our right to these trademarks, service marks and trade names.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PART 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10-K Introduction</w:t>
      </w:r>
    </w:p>
    <w:p>
      <w:pPr>
        <w:spacing w:after="0" w:line="244"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20"/>
          <w:szCs w:val="20"/>
          <w:b w:val="1"/>
          <w:bCs w:val="1"/>
          <w:color w:val="auto"/>
        </w:rPr>
        <w:t>This section provides an overview of AMN Healthcare Services, Inc. It does not contain all of the information you should consider. Please read the entire Annual Report on Form 10-K carefully before voting or making an investment decision.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Particular, Please See the Following Sections</w:t>
      </w:r>
    </w:p>
    <w:p>
      <w:pPr>
        <w:spacing w:after="0" w:line="34" w:lineRule="exact"/>
        <w:rPr>
          <w:sz w:val="20"/>
          <w:szCs w:val="20"/>
          <w:color w:val="auto"/>
        </w:rPr>
      </w:pPr>
    </w:p>
    <w:tbl>
      <w:tblPr>
        <w:tblLayout w:type="fixed"/>
        <w:tblInd w:w="3180" w:type="dxa"/>
        <w:tblCellMar>
          <w:top w:w="0" w:type="dxa"/>
          <w:left w:w="0" w:type="dxa"/>
          <w:bottom w:w="0" w:type="dxa"/>
          <w:right w:w="0" w:type="dxa"/>
        </w:tblCellMar>
      </w:tblPr>
      <w:tr>
        <w:trPr>
          <w:trHeight w:val="177"/>
        </w:trPr>
        <w:tc>
          <w:tcPr>
            <w:tcW w:w="9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center"/>
              <w:ind w:right="1000"/>
              <w:spacing w:after="0" w:line="177" w:lineRule="exact"/>
              <w:rPr>
                <w:sz w:val="20"/>
                <w:szCs w:val="20"/>
                <w:color w:val="auto"/>
              </w:rPr>
            </w:pPr>
            <w:r>
              <w:rPr>
                <w:rFonts w:ascii="Times New Roman" w:cs="Times New Roman" w:eastAsia="Times New Roman" w:hAnsi="Times New Roman"/>
                <w:sz w:val="17"/>
                <w:szCs w:val="17"/>
                <w:color w:val="auto"/>
              </w:rPr>
              <w:t>Risk</w:t>
            </w:r>
          </w:p>
        </w:tc>
      </w:tr>
      <w:tr>
        <w:trPr>
          <w:trHeight w:val="231"/>
        </w:trPr>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rPr>
              <w:t>Forward-Looking Statements</w:t>
            </w:r>
          </w:p>
        </w:tc>
        <w:tc>
          <w:tcPr>
            <w:tcW w:w="660" w:type="dxa"/>
            <w:vAlign w:val="bottom"/>
          </w:tcPr>
          <w:p>
            <w:pPr>
              <w:spacing w:after="0"/>
              <w:rPr>
                <w:sz w:val="20"/>
                <w:szCs w:val="20"/>
                <w:color w:val="auto"/>
              </w:rPr>
            </w:pPr>
          </w:p>
        </w:tc>
        <w:tc>
          <w:tcPr>
            <w:tcW w:w="1480" w:type="dxa"/>
            <w:vAlign w:val="bottom"/>
            <w:gridSpan w:val="4"/>
          </w:tcPr>
          <w:p>
            <w:pPr>
              <w:jc w:val="center"/>
              <w:ind w:right="920"/>
              <w:spacing w:after="0"/>
              <w:rPr>
                <w:sz w:val="20"/>
                <w:szCs w:val="20"/>
                <w:color w:val="auto"/>
              </w:rPr>
            </w:pPr>
            <w:r>
              <w:rPr>
                <w:rFonts w:ascii="Times New Roman" w:cs="Times New Roman" w:eastAsia="Times New Roman" w:hAnsi="Times New Roman"/>
                <w:sz w:val="17"/>
                <w:szCs w:val="17"/>
                <w:color w:val="auto"/>
              </w:rPr>
              <w:t>Factors</w:t>
            </w:r>
          </w:p>
        </w:tc>
      </w:tr>
      <w:tr>
        <w:trPr>
          <w:trHeight w:val="189"/>
        </w:trPr>
        <w:tc>
          <w:tcPr>
            <w:tcW w:w="900" w:type="dxa"/>
            <w:vAlign w:val="bottom"/>
          </w:tcPr>
          <w:p>
            <w:pPr>
              <w:spacing w:after="0"/>
              <w:rPr>
                <w:sz w:val="16"/>
                <w:szCs w:val="16"/>
                <w:color w:val="auto"/>
              </w:rPr>
            </w:pPr>
          </w:p>
        </w:tc>
        <w:tc>
          <w:tcPr>
            <w:tcW w:w="1860" w:type="dxa"/>
            <w:vAlign w:val="bottom"/>
            <w:gridSpan w:val="4"/>
          </w:tcPr>
          <w:p>
            <w:pPr>
              <w:jc w:val="center"/>
              <w:ind w:right="1300"/>
              <w:spacing w:after="0" w:line="189" w:lineRule="exact"/>
              <w:rPr>
                <w:sz w:val="20"/>
                <w:szCs w:val="20"/>
                <w:color w:val="auto"/>
              </w:rPr>
            </w:pPr>
            <w:r>
              <w:rPr>
                <w:rFonts w:ascii="Times New Roman" w:cs="Times New Roman" w:eastAsia="Times New Roman" w:hAnsi="Times New Roman"/>
                <w:sz w:val="17"/>
                <w:szCs w:val="17"/>
                <w:color w:val="0000FF"/>
              </w:rPr>
              <w:t>Page 8</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jc w:val="center"/>
              <w:ind w:right="960"/>
              <w:spacing w:after="0" w:line="189" w:lineRule="exact"/>
              <w:rPr>
                <w:sz w:val="20"/>
                <w:szCs w:val="20"/>
                <w:color w:val="auto"/>
              </w:rPr>
            </w:pPr>
            <w:r>
              <w:rPr>
                <w:rFonts w:ascii="Times New Roman" w:cs="Times New Roman" w:eastAsia="Times New Roman" w:hAnsi="Times New Roman"/>
                <w:sz w:val="17"/>
                <w:szCs w:val="17"/>
                <w:color w:val="0000FF"/>
              </w:rPr>
              <w:t>Page 8</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2760" w:type="dxa"/>
            <w:vAlign w:val="bottom"/>
            <w:gridSpan w:val="5"/>
          </w:tcPr>
          <w:p>
            <w:pPr>
              <w:jc w:val="center"/>
              <w:ind w:right="380"/>
              <w:spacing w:after="0" w:line="163" w:lineRule="exact"/>
              <w:rPr>
                <w:sz w:val="20"/>
                <w:szCs w:val="20"/>
                <w:color w:val="auto"/>
              </w:rPr>
            </w:pPr>
            <w:r>
              <w:rPr>
                <w:rFonts w:ascii="Times New Roman" w:cs="Times New Roman" w:eastAsia="Times New Roman" w:hAnsi="Times New Roman"/>
                <w:sz w:val="17"/>
                <w:szCs w:val="17"/>
                <w:color w:val="auto"/>
              </w:rPr>
              <w:t>Management’s Discussion &amp;</w:t>
            </w:r>
          </w:p>
        </w:tc>
        <w:tc>
          <w:tcPr>
            <w:tcW w:w="2140" w:type="dxa"/>
            <w:vAlign w:val="bottom"/>
            <w:gridSpan w:val="5"/>
          </w:tcPr>
          <w:p>
            <w:pPr>
              <w:jc w:val="center"/>
              <w:ind w:right="320"/>
              <w:spacing w:after="0" w:line="163" w:lineRule="exact"/>
              <w:rPr>
                <w:sz w:val="20"/>
                <w:szCs w:val="20"/>
                <w:color w:val="auto"/>
              </w:rPr>
            </w:pPr>
            <w:r>
              <w:rPr>
                <w:rFonts w:ascii="Times New Roman" w:cs="Times New Roman" w:eastAsia="Times New Roman" w:hAnsi="Times New Roman"/>
                <w:sz w:val="17"/>
                <w:szCs w:val="17"/>
                <w:color w:val="auto"/>
              </w:rPr>
              <w:t>Financial</w:t>
            </w:r>
          </w:p>
        </w:tc>
      </w:tr>
      <w:tr>
        <w:trPr>
          <w:trHeight w:val="228"/>
        </w:trPr>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color w:val="auto"/>
              </w:rPr>
              <w:t>Analysis</w:t>
            </w: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color w:val="auto"/>
              </w:rPr>
              <w:t>Statements</w:t>
            </w:r>
          </w:p>
        </w:tc>
      </w:tr>
      <w:tr>
        <w:trPr>
          <w:trHeight w:val="192"/>
        </w:trPr>
        <w:tc>
          <w:tcPr>
            <w:tcW w:w="2760" w:type="dxa"/>
            <w:vAlign w:val="bottom"/>
            <w:gridSpan w:val="5"/>
          </w:tcPr>
          <w:p>
            <w:pPr>
              <w:jc w:val="center"/>
              <w:ind w:right="400"/>
              <w:spacing w:after="0" w:line="192" w:lineRule="exact"/>
              <w:rPr>
                <w:sz w:val="20"/>
                <w:szCs w:val="20"/>
                <w:color w:val="auto"/>
              </w:rPr>
            </w:pPr>
            <w:r>
              <w:rPr>
                <w:rFonts w:ascii="Times New Roman" w:cs="Times New Roman" w:eastAsia="Times New Roman" w:hAnsi="Times New Roman"/>
                <w:sz w:val="17"/>
                <w:szCs w:val="17"/>
                <w:color w:val="0000FF"/>
              </w:rPr>
              <w:t>Page 23</w:t>
            </w:r>
          </w:p>
        </w:tc>
        <w:tc>
          <w:tcPr>
            <w:tcW w:w="2140" w:type="dxa"/>
            <w:vAlign w:val="bottom"/>
            <w:gridSpan w:val="5"/>
          </w:tcPr>
          <w:p>
            <w:pPr>
              <w:jc w:val="center"/>
              <w:ind w:right="260"/>
              <w:spacing w:after="0" w:line="192" w:lineRule="exact"/>
              <w:rPr>
                <w:sz w:val="20"/>
                <w:szCs w:val="20"/>
                <w:color w:val="auto"/>
              </w:rPr>
            </w:pPr>
            <w:r>
              <w:rPr>
                <w:rFonts w:ascii="Times New Roman" w:cs="Times New Roman" w:eastAsia="Times New Roman" w:hAnsi="Times New Roman"/>
                <w:sz w:val="17"/>
                <w:szCs w:val="17"/>
                <w:color w:val="0000FF"/>
              </w:rPr>
              <w:t>Page 36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Index of frequently requested 10-K information</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Five-Year Performance Graph</w:t>
            </w: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Page 22</w:t>
            </w:r>
          </w:p>
        </w:tc>
      </w:tr>
      <w:tr>
        <w:trPr>
          <w:trHeight w:val="203"/>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Results of Operations</w:t>
            </w: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Page 25</w:t>
            </w:r>
          </w:p>
        </w:tc>
      </w:tr>
      <w:tr>
        <w:trPr>
          <w:trHeight w:val="203"/>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Liquidity and Capital Resources</w:t>
            </w: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Page 28</w:t>
            </w:r>
          </w:p>
        </w:tc>
      </w:tr>
      <w:tr>
        <w:trPr>
          <w:trHeight w:val="203"/>
        </w:trPr>
        <w:tc>
          <w:tcPr>
            <w:tcW w:w="10100" w:type="dxa"/>
            <w:vAlign w:val="bottom"/>
          </w:tcPr>
          <w:p>
            <w:pPr>
              <w:spacing w:after="0"/>
              <w:rPr>
                <w:sz w:val="20"/>
                <w:szCs w:val="20"/>
                <w:color w:val="auto"/>
              </w:rPr>
            </w:pPr>
            <w:r>
              <w:rPr>
                <w:rFonts w:ascii="Times New Roman" w:cs="Times New Roman" w:eastAsia="Times New Roman" w:hAnsi="Times New Roman"/>
                <w:sz w:val="17"/>
                <w:szCs w:val="17"/>
                <w:color w:val="auto"/>
              </w:rPr>
              <w:t>Financial Statement Footnotes</w:t>
            </w: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Page 44</w:t>
            </w:r>
          </w:p>
        </w:tc>
      </w:tr>
    </w:tbl>
    <w:p>
      <w:pPr>
        <w:spacing w:after="0" w:line="3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1.</w:t>
      </w:r>
      <w:r>
        <w:rPr>
          <w:sz w:val="20"/>
          <w:szCs w:val="20"/>
          <w:color w:val="auto"/>
        </w:rPr>
        <w:tab/>
      </w:r>
      <w:r>
        <w:rPr>
          <w:rFonts w:ascii="Times New Roman" w:cs="Times New Roman" w:eastAsia="Times New Roman" w:hAnsi="Times New Roman"/>
          <w:sz w:val="24"/>
          <w:szCs w:val="24"/>
          <w:b w:val="1"/>
          <w:bCs w:val="1"/>
          <w:i w:val="1"/>
          <w:iCs w:val="1"/>
          <w:color w:val="auto"/>
        </w:rPr>
        <w:t>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 of Our Company and Business Strategy</w:t>
      </w:r>
    </w:p>
    <w:p>
      <w:pPr>
        <w:spacing w:after="0" w:line="165" w:lineRule="exact"/>
        <w:rPr>
          <w:sz w:val="20"/>
          <w:szCs w:val="20"/>
          <w:color w:val="auto"/>
        </w:rPr>
      </w:pPr>
    </w:p>
    <w:p>
      <w:pPr>
        <w:ind w:right="40" w:firstLine="393"/>
        <w:spacing w:after="0" w:line="274" w:lineRule="auto"/>
        <w:rPr>
          <w:sz w:val="20"/>
          <w:szCs w:val="20"/>
          <w:color w:val="auto"/>
        </w:rPr>
      </w:pPr>
      <w:r>
        <w:rPr>
          <w:rFonts w:ascii="Times New Roman" w:cs="Times New Roman" w:eastAsia="Times New Roman" w:hAnsi="Times New Roman"/>
          <w:sz w:val="17"/>
          <w:szCs w:val="17"/>
          <w:color w:val="auto"/>
        </w:rPr>
        <w:t>AMN Healthcare empowers the future of care through one of the nation’s broadest network of highly-qualified healthcare professionals. As the leader and innovator in total talent solutions for the healthcare sector in the United States, we tailor our solutions to our clients’ workforce challenges and goals, and provide staffing, talent optimization strategies, and technology solutions to support caregivers and patient care. We are passionate about all aspects of our mission to:</w:t>
      </w:r>
    </w:p>
    <w:p>
      <w:pPr>
        <w:spacing w:after="0" w:line="188" w:lineRule="exact"/>
        <w:rPr>
          <w:sz w:val="20"/>
          <w:szCs w:val="20"/>
          <w:color w:val="auto"/>
        </w:rPr>
      </w:pPr>
    </w:p>
    <w:p>
      <w:pPr>
        <w:ind w:left="1020" w:hanging="307"/>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the right talent and insights to help healthcare organizations optimize their workforce.</w:t>
      </w:r>
    </w:p>
    <w:p>
      <w:pPr>
        <w:spacing w:after="0" w:line="14" w:lineRule="exact"/>
        <w:rPr>
          <w:rFonts w:ascii="Times New Roman" w:cs="Times New Roman" w:eastAsia="Times New Roman" w:hAnsi="Times New Roman"/>
          <w:sz w:val="17"/>
          <w:szCs w:val="17"/>
          <w:color w:val="auto"/>
        </w:rPr>
      </w:pPr>
    </w:p>
    <w:p>
      <w:pPr>
        <w:ind w:left="1020" w:hanging="307"/>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healthcare professionals opportunities to do their best work toward high-quality patient care.</w:t>
      </w:r>
    </w:p>
    <w:p>
      <w:pPr>
        <w:spacing w:after="0" w:line="14" w:lineRule="exact"/>
        <w:rPr>
          <w:rFonts w:ascii="Times New Roman" w:cs="Times New Roman" w:eastAsia="Times New Roman" w:hAnsi="Times New Roman"/>
          <w:sz w:val="17"/>
          <w:szCs w:val="17"/>
          <w:color w:val="auto"/>
        </w:rPr>
      </w:pPr>
    </w:p>
    <w:p>
      <w:pPr>
        <w:ind w:left="1020" w:hanging="307"/>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an innovative and values-based culture in which our team members can achieve their goals.</w:t>
      </w:r>
    </w:p>
    <w:p>
      <w:pPr>
        <w:spacing w:after="0" w:line="154" w:lineRule="exact"/>
        <w:rPr>
          <w:sz w:val="20"/>
          <w:szCs w:val="20"/>
          <w:color w:val="auto"/>
        </w:rPr>
      </w:pPr>
    </w:p>
    <w:p>
      <w:pPr>
        <w:ind w:right="60" w:firstLine="393"/>
        <w:spacing w:after="0" w:line="270" w:lineRule="auto"/>
        <w:rPr>
          <w:sz w:val="20"/>
          <w:szCs w:val="20"/>
          <w:color w:val="auto"/>
        </w:rPr>
      </w:pPr>
      <w:r>
        <w:rPr>
          <w:rFonts w:ascii="Times New Roman" w:cs="Times New Roman" w:eastAsia="Times New Roman" w:hAnsi="Times New Roman"/>
          <w:sz w:val="17"/>
          <w:szCs w:val="17"/>
          <w:color w:val="auto"/>
        </w:rPr>
        <w:t>Our solutions enable our clients to build a quality, cost effective workforce, increase efficiency, and elevate the patient experience. Our comprehensive suite of talent solutions provides management, staffing, recruitment, language services, technology and related services to build and manage all or part of our clients’ healthcare workforce needs. We offer temporary and permanent career opportunities to our healthcare professionals, from nurses, physicians, and allied health professionals to healthcare leaders and executives in a variety of settings across the nation.</w:t>
      </w:r>
    </w:p>
    <w:p>
      <w:pPr>
        <w:spacing w:after="0" w:line="117" w:lineRule="exact"/>
        <w:rPr>
          <w:sz w:val="20"/>
          <w:szCs w:val="20"/>
          <w:color w:val="auto"/>
        </w:rPr>
      </w:pPr>
    </w:p>
    <w:p>
      <w:pPr>
        <w:ind w:firstLine="393"/>
        <w:spacing w:after="0" w:line="269" w:lineRule="auto"/>
        <w:rPr>
          <w:sz w:val="20"/>
          <w:szCs w:val="20"/>
          <w:color w:val="auto"/>
        </w:rPr>
      </w:pPr>
      <w:r>
        <w:rPr>
          <w:rFonts w:ascii="Times New Roman" w:cs="Times New Roman" w:eastAsia="Times New Roman" w:hAnsi="Times New Roman"/>
          <w:sz w:val="17"/>
          <w:szCs w:val="17"/>
          <w:color w:val="auto"/>
        </w:rPr>
        <w:t>Our strategy is designed to support growth in the number and size of customer relationships and expansion of the markets we serve as care delivery settings continue to evolve and expand. Driving increased adoption of our numerous talent solutions through cross-selling will deepen and broaden our customer relationships. We will continue to innovate, develop and invest in new, complementary service and technology solutions that optimize and manage our clients’ workforce, enhance the patient experience, better engage our talent network and expand into different healthcare delivery settings. We expect this will enable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to expand our strategic customer relationships, while driving more recurring revenue, improve margin mix, and be less sensitive to economic cycles.</w:t>
      </w:r>
    </w:p>
    <w:p>
      <w:pPr>
        <w:spacing w:after="0" w:line="172" w:lineRule="exact"/>
        <w:rPr>
          <w:sz w:val="20"/>
          <w:szCs w:val="20"/>
          <w:color w:val="auto"/>
        </w:rPr>
      </w:pPr>
    </w:p>
    <w:p>
      <w:pPr>
        <w:ind w:right="60" w:firstLine="393"/>
        <w:spacing w:after="0" w:line="265" w:lineRule="auto"/>
        <w:rPr>
          <w:sz w:val="20"/>
          <w:szCs w:val="20"/>
          <w:color w:val="auto"/>
        </w:rPr>
      </w:pPr>
      <w:r>
        <w:rPr>
          <w:rFonts w:ascii="Times New Roman" w:cs="Times New Roman" w:eastAsia="Times New Roman" w:hAnsi="Times New Roman"/>
          <w:sz w:val="17"/>
          <w:szCs w:val="17"/>
          <w:color w:val="auto"/>
        </w:rPr>
        <w:t>Over the past decade, our business has evolved beyond traditional healthcare staffing and recruitment services; we have become a strategic total talent solutions partner with our clients. We expanded our portfolio to serve a diverse and growing set of healthcare talent-related needs. In addition to our traditional staffing and search services, our suite of healthcare workforce solutions includes managed services programs (“MSP”), vendor management systems (“VMS”), medical language interpretation services, consulting, recruitment process outsourcing (“RPO”), and revenue cycle solutions. We enable clients to build, manage and optimize their healthcare talent to deliver quality patient outcomes and experiences. Our talent network includes thousands of highly skilled, experienced professionals who trust us to place them in environments that expand and leverage their qualifications and expertise.</w:t>
      </w:r>
    </w:p>
    <w:p>
      <w:pPr>
        <w:spacing w:after="0" w:line="121" w:lineRule="exact"/>
        <w:rPr>
          <w:sz w:val="20"/>
          <w:szCs w:val="20"/>
          <w:color w:val="auto"/>
        </w:rPr>
      </w:pPr>
    </w:p>
    <w:p>
      <w:pPr>
        <w:ind w:right="160" w:firstLine="393"/>
        <w:spacing w:after="0" w:line="270" w:lineRule="auto"/>
        <w:rPr>
          <w:sz w:val="20"/>
          <w:szCs w:val="20"/>
          <w:color w:val="auto"/>
        </w:rPr>
      </w:pPr>
      <w:r>
        <w:rPr>
          <w:rFonts w:ascii="Times New Roman" w:cs="Times New Roman" w:eastAsia="Times New Roman" w:hAnsi="Times New Roman"/>
          <w:sz w:val="17"/>
          <w:szCs w:val="17"/>
          <w:color w:val="auto"/>
        </w:rPr>
        <w:t>When developing and acquiring talent solutions, both services and technology, we consider many important criteria: (1) identifying and addressing the most pressing current and future needs of our clients and talent network; (2) alignment with our core operations, expertise, and access to healthcare professionals; (3) ways to deepen and broaden our client and healthcare professional relationships; (4) talent and technology solutions that expand the markets we serve; and (5) businesses that reduce our sensitivity to economic cycles and enhance our profitability.</w:t>
      </w:r>
    </w:p>
    <w:p>
      <w:pPr>
        <w:spacing w:after="0" w:line="117" w:lineRule="exact"/>
        <w:rPr>
          <w:sz w:val="20"/>
          <w:szCs w:val="20"/>
          <w:color w:val="auto"/>
        </w:rPr>
      </w:pPr>
    </w:p>
    <w:p>
      <w:pPr>
        <w:ind w:firstLine="393"/>
        <w:spacing w:after="0" w:line="259" w:lineRule="auto"/>
        <w:rPr>
          <w:sz w:val="20"/>
          <w:szCs w:val="20"/>
          <w:color w:val="auto"/>
        </w:rPr>
      </w:pPr>
      <w:r>
        <w:rPr>
          <w:rFonts w:ascii="Times New Roman" w:cs="Times New Roman" w:eastAsia="Times New Roman" w:hAnsi="Times New Roman"/>
          <w:sz w:val="17"/>
          <w:szCs w:val="17"/>
          <w:color w:val="auto"/>
        </w:rPr>
        <w:t>Continuous improvement of our operations and business technology is a core component of our growth strategy and profitability goals. We have accelerated the integration of technology-based solutions in our core recruitment processes through investment in digital capabilities, mobile applications, brand consolidation and data analytics. These technology investments provide a more seamless and efficient workflow for our team members, our healthcare professionals and our clients. For example, in 2024, we launched WorkWise, a healthcare technology platform, bringing together our technology solutions that quantify staffing demand with predictive scheduling, automate workforce and vendor management in one solution, and seek to improve the clinician experience. We added capabilities and functionalities for ShiftWise Flex, AMN Healthcare’s next-generation VMS that leverages the power of automation to increase efficiency of talent matching, credentialing, and candidate self-service, enabling our clients to develop sustainable workforces to deliver better outcomes for patients and caregivers alike. ShiftWise Flex is also integrated with AMN Passport, our top clinician-rated mobile application with more than 340,000 registered users as of January 2026. AMN Passport provides a centralized experience for nurses and allied professionals to find, book and manage assignments, access time and pay details, and receive instantaneous alerts and updates, while also creating operational efficiencies through the ability to customize job preferences, store and manage credentials, electronically sign important documents and contact our dedicated recruiters. As part of our ongoing efforts to enhance our digital ecosystem, we expanded AMN Passport to include locum tenens, extending the platform’s functionality to support their workforce experience. This enhancement enables locum tenens providers to discover new opportunities while also managing their shifts and schedules in one centralized place. Through integration with third party scheduling solutions, we have broadened access and streamlined workflows, providing providers with improved visibility and coordination across their assignments. AMN’s Event Management System (“EMS”) is a fully integrated platform that supports large-scale labor disruption events by coordinating end-to-end operational workflows across recruitment, scheduling, credentialing, logistics, and supplier management. In 2025, the system was expanded to provide comprehensive coverage for both AMN-sourced clinicians and external suppliers, improving readiness, speed, and operational oversight during strike events. EMS enhances AMN’s ability to mobilize workforce resources efficiently, increases data transparency, and strengthens overall execution for complex, high-volume labor actions, further advancing our position as a leader in labor disruption staffing. We are increasing investments in automation and AI-enabled technology to improve efficiency and speed across our operations, with positive early results in functions including recruiting, credentialing and candidate engagement. We believe our investments in technology systems and AI will help us realize meaningfully greater scale, agility, speed, and cost efficiencies and will improve the experience for our healthcare professionals and clients.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Human Capital Management</w:t>
      </w:r>
    </w:p>
    <w:p>
      <w:pPr>
        <w:spacing w:after="0" w:line="14" w:lineRule="exact"/>
        <w:rPr>
          <w:sz w:val="20"/>
          <w:szCs w:val="20"/>
          <w:color w:val="auto"/>
        </w:rPr>
      </w:pPr>
    </w:p>
    <w:p>
      <w:pPr>
        <w:ind w:right="180" w:firstLine="393"/>
        <w:spacing w:after="0" w:line="236" w:lineRule="auto"/>
        <w:rPr>
          <w:sz w:val="20"/>
          <w:szCs w:val="20"/>
          <w:color w:val="auto"/>
        </w:rPr>
      </w:pPr>
      <w:r>
        <w:rPr>
          <w:rFonts w:ascii="Times New Roman" w:cs="Times New Roman" w:eastAsia="Times New Roman" w:hAnsi="Times New Roman"/>
          <w:sz w:val="17"/>
          <w:szCs w:val="17"/>
          <w:color w:val="auto"/>
        </w:rPr>
        <w:t>Our human capital management strategy is a foundation of our business strategy as we strive to address the short- and long-term talent needs of our clients. Development of a broad base of healthcare professionals and corporate team members who feel valued, respected and supported is essential to driving shareholder value and achieving our long-term growth objectives. To support these objectives, our human capital management strategy focuses on talent acquisition, engagement, retention, employee well-being and belonging.</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Employee Well-being</w:t>
      </w:r>
    </w:p>
    <w:p>
      <w:pPr>
        <w:spacing w:after="0" w:line="241" w:lineRule="exact"/>
        <w:rPr>
          <w:sz w:val="20"/>
          <w:szCs w:val="20"/>
          <w:color w:val="auto"/>
        </w:rPr>
      </w:pPr>
    </w:p>
    <w:p>
      <w:pPr>
        <w:ind w:right="20" w:firstLine="393"/>
        <w:spacing w:after="0" w:line="238" w:lineRule="auto"/>
        <w:rPr>
          <w:sz w:val="20"/>
          <w:szCs w:val="20"/>
          <w:color w:val="auto"/>
        </w:rPr>
      </w:pPr>
      <w:r>
        <w:rPr>
          <w:rFonts w:ascii="Times New Roman" w:cs="Times New Roman" w:eastAsia="Times New Roman" w:hAnsi="Times New Roman"/>
          <w:sz w:val="17"/>
          <w:szCs w:val="17"/>
          <w:color w:val="auto"/>
        </w:rPr>
        <w:t>Our commitment to supporting the mental, physical, and economic well-being of our team members and healthcare professionals continued throughout 2025. The care, support and safety of our frontline healthcare professionals remains at the forefront for us. We provide our healthcare professionals with support through access to employee assistance programs, on demand mental health resources, wellness products and services to care for them while they are caring for our communities. In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addition, our top clinician-rated mobile application, AMN Passport, allows users to see their impact on the patients they support. The app includes an impact tracker in user profiles that shows the amount of patient care hours they provide and how many communities they serve over their career with us.</w:t>
      </w:r>
    </w:p>
    <w:p>
      <w:pPr>
        <w:spacing w:after="0" w:line="185" w:lineRule="exact"/>
        <w:rPr>
          <w:sz w:val="20"/>
          <w:szCs w:val="20"/>
          <w:color w:val="auto"/>
        </w:rPr>
      </w:pPr>
    </w:p>
    <w:p>
      <w:pPr>
        <w:jc w:val="both"/>
        <w:ind w:firstLine="393"/>
        <w:spacing w:after="0" w:line="238" w:lineRule="auto"/>
        <w:rPr>
          <w:sz w:val="20"/>
          <w:szCs w:val="20"/>
          <w:color w:val="auto"/>
        </w:rPr>
      </w:pPr>
      <w:r>
        <w:rPr>
          <w:rFonts w:ascii="Times New Roman" w:cs="Times New Roman" w:eastAsia="Times New Roman" w:hAnsi="Times New Roman"/>
          <w:sz w:val="17"/>
          <w:szCs w:val="17"/>
          <w:color w:val="auto"/>
        </w:rPr>
        <w:t>We also continued our AMN Healthcare Hardship Fund and our AMN Caring for Caregivers Fund, through which corporate team members and healthcare professionals, respectively, can receive financial support for qualifying events such as life-threatening or serious illnesses, natural disasters, funeral costs, or other events causing financial strain. This support is in addition to the insurance and other benefits and employee assistance programs available to support our team members and healthcare professionals.</w:t>
      </w:r>
    </w:p>
    <w:p>
      <w:pPr>
        <w:spacing w:after="0" w:line="208" w:lineRule="exact"/>
        <w:rPr>
          <w:sz w:val="20"/>
          <w:szCs w:val="20"/>
          <w:color w:val="auto"/>
        </w:rPr>
      </w:pPr>
    </w:p>
    <w:p>
      <w:pPr>
        <w:jc w:val="both"/>
        <w:ind w:firstLine="393"/>
        <w:spacing w:after="0" w:line="245" w:lineRule="auto"/>
        <w:rPr>
          <w:sz w:val="20"/>
          <w:szCs w:val="20"/>
          <w:color w:val="auto"/>
        </w:rPr>
      </w:pPr>
      <w:r>
        <w:rPr>
          <w:rFonts w:ascii="Times New Roman" w:cs="Times New Roman" w:eastAsia="Times New Roman" w:hAnsi="Times New Roman"/>
          <w:sz w:val="17"/>
          <w:szCs w:val="17"/>
          <w:color w:val="auto"/>
        </w:rPr>
        <w:t>To reward our employees for their efforts and dedication to advancing AMN Healthcare and supporting our clients and healthcare professionals and to further align their interests with that of our shareholders, we continued to offer an employee stock purchase plan (“ESPP”) to attract, motivate and retain employees and to provide a way for our employees to acquire an equity interest in our company.</w:t>
      </w:r>
    </w:p>
    <w:p>
      <w:pPr>
        <w:spacing w:after="0" w:line="188"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color w:val="auto"/>
        </w:rPr>
        <w:t>For our corporate team members, we provide comprehensive benefit options, including health insurance, a prescription drug benefit, life and disability insurance, and paid time off. We also provide a variety of other voluntary programs to support the health and well-being of our team members and their families, such as health and flexible spending accounts, family leave, adoption assistance, education assistance, retirement plans with matching employer contributions, employee assistance programs and financial wellness programs.</w:t>
      </w:r>
    </w:p>
    <w:p>
      <w:pPr>
        <w:spacing w:after="0" w:line="192"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color w:val="auto"/>
        </w:rPr>
        <w:t>We embrace a flexible work environment, with team members working a combination of in office and virtually to fully support our clients and healthcare professionals with the highest level of service, regardless of location and without disruption to our business operations. We believe it is important to bring our teams together to instill and reinforce our values-based culture, provide an opportunity to build meaningful connections with each other and the communities we serve as well as provide ongoing professional development and advancement opportunities. Our team members are located across the country, and we have offices in Dallas, TX; San Diego, CA; Boca Raton, FL; and Atlanta, GA.</w:t>
      </w:r>
    </w:p>
    <w:p>
      <w:pPr>
        <w:spacing w:after="0" w:line="191" w:lineRule="exact"/>
        <w:rPr>
          <w:sz w:val="20"/>
          <w:szCs w:val="20"/>
          <w:color w:val="auto"/>
        </w:rPr>
      </w:pPr>
    </w:p>
    <w:p>
      <w:pPr>
        <w:jc w:val="both"/>
        <w:ind w:firstLine="393"/>
        <w:spacing w:after="0" w:line="243" w:lineRule="auto"/>
        <w:rPr>
          <w:sz w:val="20"/>
          <w:szCs w:val="20"/>
          <w:color w:val="auto"/>
        </w:rPr>
      </w:pPr>
      <w:r>
        <w:rPr>
          <w:rFonts w:ascii="Times New Roman" w:cs="Times New Roman" w:eastAsia="Times New Roman" w:hAnsi="Times New Roman"/>
          <w:sz w:val="17"/>
          <w:szCs w:val="17"/>
          <w:color w:val="auto"/>
        </w:rPr>
        <w:t>As of December 31, 2025, we had 2,664 corporate team members, which includes both full-time and part-time employees. During the fourth quarter of 2025, we had an average of (1) 8,722 nurses, allied and other healthcare professionals, (2) 234 executive and clinical leadership interim staff, and (3) 2,670 medically qualified interpreters working for us. This does not include independent contractors, such as our locum tenens and contract interpreters, who were not our employees in 2025. In addition to our team members and independent contractors, we also leverage global partners to support our 24/7 client service model.</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Learning and Professional Development</w:t>
      </w:r>
    </w:p>
    <w:p>
      <w:pPr>
        <w:spacing w:after="0" w:line="25" w:lineRule="exact"/>
        <w:rPr>
          <w:sz w:val="20"/>
          <w:szCs w:val="20"/>
          <w:color w:val="auto"/>
        </w:rPr>
      </w:pPr>
    </w:p>
    <w:p>
      <w:pPr>
        <w:jc w:val="both"/>
        <w:ind w:firstLine="393"/>
        <w:spacing w:after="0"/>
        <w:rPr>
          <w:sz w:val="20"/>
          <w:szCs w:val="20"/>
          <w:color w:val="auto"/>
        </w:rPr>
      </w:pPr>
      <w:r>
        <w:rPr>
          <w:rFonts w:ascii="Times New Roman" w:cs="Times New Roman" w:eastAsia="Times New Roman" w:hAnsi="Times New Roman"/>
          <w:sz w:val="17"/>
          <w:szCs w:val="17"/>
          <w:color w:val="auto"/>
        </w:rPr>
        <w:t>To help our team members and healthcare professionals achieve their personal and professional goals, we continue to make significant investments in our multi-faceted professional development programs.</w:t>
      </w:r>
    </w:p>
    <w:p>
      <w:pPr>
        <w:spacing w:after="0" w:line="192"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color w:val="auto"/>
        </w:rPr>
        <w:t>We serve the clinical education needs of our healthcare professionals through a multi-pronged approach: pre-hire skills checklists to self-assess current clinical expertise, skills, and knowledge; pre-assignment knowledge assessments to test knowledge in a specialty practice area; pre-assignment required training; access to free continuing education courses while on assignment; and opportunities to transition into practice in specialty settings.</w:t>
      </w:r>
    </w:p>
    <w:p>
      <w:pPr>
        <w:spacing w:after="0" w:line="182" w:lineRule="exact"/>
        <w:rPr>
          <w:sz w:val="20"/>
          <w:szCs w:val="20"/>
          <w:color w:val="auto"/>
        </w:rPr>
      </w:pPr>
    </w:p>
    <w:p>
      <w:pPr>
        <w:jc w:val="both"/>
        <w:ind w:firstLine="393"/>
        <w:spacing w:after="0" w:line="237" w:lineRule="auto"/>
        <w:rPr>
          <w:sz w:val="20"/>
          <w:szCs w:val="20"/>
          <w:color w:val="auto"/>
        </w:rPr>
      </w:pPr>
      <w:r>
        <w:rPr>
          <w:rFonts w:ascii="Times New Roman" w:cs="Times New Roman" w:eastAsia="Times New Roman" w:hAnsi="Times New Roman"/>
          <w:sz w:val="17"/>
          <w:szCs w:val="17"/>
          <w:color w:val="auto"/>
        </w:rPr>
        <w:t>Throughout 2025, nearly 500 team members were promoted or transferred internally into new positions, representing approximately 19% of our corporate team members. Our professional development education assistance program provides reimbursement to our corporate team members to advance their knowledge and skills through certificate and degree programs. We offer leadership development curriculums led by our team of learning and talent development professionals for newly hired and promoted leaders, called LEAD at AMN, as well as a leadership curriculum for our individual contributors who are seeking leadership positions, which we call our emerging leaders program. Additionally, our mentorship program allows team members the opportunity to connect with colleagues across the company to support their development, strengthen their skills, and deepen relationships. These programs are supplemented with resources from our corporate memberships in large industry associations, to which every team member has access.</w:t>
      </w:r>
    </w:p>
    <w:p>
      <w:pPr>
        <w:spacing w:after="0" w:line="196" w:lineRule="exact"/>
        <w:rPr>
          <w:sz w:val="20"/>
          <w:szCs w:val="20"/>
          <w:color w:val="auto"/>
        </w:rPr>
      </w:pPr>
    </w:p>
    <w:p>
      <w:pPr>
        <w:jc w:val="both"/>
        <w:ind w:firstLine="393"/>
        <w:spacing w:after="0" w:line="253" w:lineRule="auto"/>
        <w:rPr>
          <w:sz w:val="20"/>
          <w:szCs w:val="20"/>
          <w:color w:val="auto"/>
        </w:rPr>
      </w:pPr>
      <w:r>
        <w:rPr>
          <w:rFonts w:ascii="Times New Roman" w:cs="Times New Roman" w:eastAsia="Times New Roman" w:hAnsi="Times New Roman"/>
          <w:sz w:val="17"/>
          <w:szCs w:val="17"/>
          <w:color w:val="auto"/>
        </w:rPr>
        <w:t>Our training and development programs include curriculum that promotes our values-based culture and commitment to ethics and compliance. In 2025, we had a 97% completion rate for our ethics and compliance training program, which includes, but is not limited to, training on our Code of Conduct, harassment prevention and cybersecurity.</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Team Member Communication and Engagement</w:t>
      </w:r>
    </w:p>
    <w:p>
      <w:pPr>
        <w:spacing w:after="0" w:line="25" w:lineRule="exact"/>
        <w:rPr>
          <w:sz w:val="20"/>
          <w:szCs w:val="20"/>
          <w:color w:val="auto"/>
        </w:rPr>
      </w:pPr>
    </w:p>
    <w:p>
      <w:pPr>
        <w:jc w:val="both"/>
        <w:ind w:firstLine="393"/>
        <w:spacing w:after="0" w:line="236" w:lineRule="auto"/>
        <w:rPr>
          <w:sz w:val="20"/>
          <w:szCs w:val="20"/>
          <w:color w:val="auto"/>
        </w:rPr>
      </w:pPr>
      <w:r>
        <w:rPr>
          <w:rFonts w:ascii="Times New Roman" w:cs="Times New Roman" w:eastAsia="Times New Roman" w:hAnsi="Times New Roman"/>
          <w:sz w:val="17"/>
          <w:szCs w:val="17"/>
          <w:color w:val="auto"/>
        </w:rPr>
        <w:t>Team member engagement is of critical importance to our success. In 2025, we continued to prioritize engaging with our team members through quarterly town halls and an enterprise-wide company meeting with our chief executive officer and other senior executives. To assess the engagement of our team members and take action to mitigate risks associated with workforce engagement, development and retention, we conducted our annual survey to assess team member engagement, with 79% enterprise participation and an overall engagement score of 78%.</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93"/>
        <w:spacing w:after="0" w:line="237" w:lineRule="auto"/>
        <w:rPr>
          <w:sz w:val="20"/>
          <w:szCs w:val="20"/>
          <w:color w:val="auto"/>
        </w:rPr>
      </w:pPr>
      <w:r>
        <w:rPr>
          <w:rFonts w:ascii="Times New Roman" w:cs="Times New Roman" w:eastAsia="Times New Roman" w:hAnsi="Times New Roman"/>
          <w:sz w:val="17"/>
          <w:szCs w:val="17"/>
          <w:color w:val="auto"/>
        </w:rPr>
        <w:t>In 2025, we continued our focus on creating opportunities for team members to build connections with colleagues through our eleven employee resource groups (“ERG”). Best practice research indicates that team member engagement and retention is positively impacted if team members are connected to peers who share their viewpoints and backgrounds and leaders who are invested in their success. These resource groups continue to foster engagement through their close alignment with the interests and backgrounds of our team members. As of December 31, 2025, more than 40% of our corporate team members participate in one or more ERG. Each ERG is sponsored by one or more members of our executive team, and in 2025, AMN’s collective ERGs hosted more than 180 member events and meetings.</w:t>
      </w:r>
    </w:p>
    <w:p>
      <w:pPr>
        <w:spacing w:after="0" w:line="219" w:lineRule="exact"/>
        <w:rPr>
          <w:sz w:val="20"/>
          <w:szCs w:val="20"/>
          <w:color w:val="auto"/>
        </w:rPr>
      </w:pPr>
    </w:p>
    <w:p>
      <w:pPr>
        <w:ind w:right="120" w:firstLine="393"/>
        <w:spacing w:after="0" w:line="269" w:lineRule="auto"/>
        <w:rPr>
          <w:sz w:val="20"/>
          <w:szCs w:val="20"/>
          <w:color w:val="auto"/>
        </w:rPr>
      </w:pPr>
      <w:r>
        <w:rPr>
          <w:rFonts w:ascii="Times New Roman" w:cs="Times New Roman" w:eastAsia="Times New Roman" w:hAnsi="Times New Roman"/>
          <w:sz w:val="17"/>
          <w:szCs w:val="17"/>
          <w:color w:val="auto"/>
        </w:rPr>
        <w:t>While our team members’ backgrounds and experiences are broad, here is a snapshot of the demographics of our corporate team members as of December 31, 2025: 69% of our team members are women; 68% of our supervisor through senior manager roles are held by women; 56% of our board of directors are women; 36% of our team members identify as black, indigenous, or people of color (“BIPOC”); our team is 57% Millennials, 33% Generation X, 5% Baby Boomers, and 5% Generation Z; and team members self-identified as veterans, disabled, and LGBTQ+, each representing approximately 3% of our team.</w:t>
      </w: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Board Oversight</w:t>
      </w:r>
    </w:p>
    <w:p>
      <w:pPr>
        <w:spacing w:after="0" w:line="36" w:lineRule="exact"/>
        <w:rPr>
          <w:sz w:val="20"/>
          <w:szCs w:val="20"/>
          <w:color w:val="auto"/>
        </w:rPr>
      </w:pPr>
    </w:p>
    <w:p>
      <w:pPr>
        <w:ind w:right="120" w:firstLine="393"/>
        <w:spacing w:after="0" w:line="266" w:lineRule="auto"/>
        <w:rPr>
          <w:sz w:val="20"/>
          <w:szCs w:val="20"/>
          <w:color w:val="auto"/>
        </w:rPr>
      </w:pPr>
      <w:r>
        <w:rPr>
          <w:rFonts w:ascii="Times New Roman" w:cs="Times New Roman" w:eastAsia="Times New Roman" w:hAnsi="Times New Roman"/>
          <w:sz w:val="17"/>
          <w:szCs w:val="17"/>
          <w:color w:val="auto"/>
        </w:rPr>
        <w:t>Our Board of Directors plays an active role in overseeing our human capital management strategy and programs. Our Talent and Compensation Committee provides oversight of our human capital management programs, including talent strategies, compensation plans and policies, and talent acquisition, development, engagement and retention.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Services</w:t>
      </w:r>
    </w:p>
    <w:p>
      <w:pPr>
        <w:spacing w:after="0" w:line="28" w:lineRule="exact"/>
        <w:rPr>
          <w:sz w:val="20"/>
          <w:szCs w:val="20"/>
          <w:color w:val="auto"/>
        </w:rPr>
      </w:pPr>
    </w:p>
    <w:p>
      <w:pPr>
        <w:ind w:right="340" w:firstLine="393"/>
        <w:spacing w:after="0" w:line="262" w:lineRule="auto"/>
        <w:rPr>
          <w:sz w:val="20"/>
          <w:szCs w:val="20"/>
          <w:color w:val="auto"/>
        </w:rPr>
      </w:pPr>
      <w:r>
        <w:rPr>
          <w:rFonts w:ascii="Times New Roman" w:cs="Times New Roman" w:eastAsia="Times New Roman" w:hAnsi="Times New Roman"/>
          <w:sz w:val="17"/>
          <w:szCs w:val="17"/>
          <w:color w:val="auto"/>
        </w:rPr>
        <w:t>In 2025, we conducted our business through three reportable segments: (1) nurse and allied solutions, (2) physician and leadership solutions, and (3) technology and workforce solutions. We describe each segment’s revenue and operating results under “Management’s Discussion and Analysis of Financial Condition and Results of Operations—Results of Operations.” Our go-to-market strategy blends solutions from all three reportable segments, combining staffing, talent planning and acquisition, and technology-enabled solutions.</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Workforce Staffing</w:t>
      </w:r>
    </w:p>
    <w:p>
      <w:pPr>
        <w:spacing w:after="0" w:line="36" w:lineRule="exact"/>
        <w:rPr>
          <w:sz w:val="20"/>
          <w:szCs w:val="20"/>
          <w:color w:val="auto"/>
        </w:rPr>
      </w:pPr>
    </w:p>
    <w:p>
      <w:pPr>
        <w:ind w:left="640" w:hanging="320"/>
        <w:spacing w:after="0" w:line="259" w:lineRule="auto"/>
        <w:tabs>
          <w:tab w:leader="none" w:pos="5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Nurse Staffing</w:t>
      </w:r>
      <w:r>
        <w:rPr>
          <w:rFonts w:ascii="Times New Roman" w:cs="Times New Roman" w:eastAsia="Times New Roman" w:hAnsi="Times New Roman"/>
          <w:sz w:val="17"/>
          <w:szCs w:val="17"/>
          <w:color w:val="auto"/>
        </w:rPr>
        <w:t>. We offer a range of specialty recruitment and temporary assignment lengths for nursing. A rigorous quality process ensures that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nursing candidate possesses the necessary training, licensure, and clinical competencies needed for a client facility. Nurse staffing solutions that we offer include (a) travel nurse staffing which are typically for a 13-week assignment but can support a wide range of assignment lengths, (b) international nurse staffing for which we recruit registered nurses from outside of the United States on long-term contracts ranging from 24 to 36 months, (c) international nurse permanent placement which provides our clients with direct placement of nurses from outside of the United States, (d) crisis nurse staffing (commonly referred to as critical staffing and rapid response nursing) for which we quickly deploy registered nurses on assignment during critical periods such as unexpected specialty gaps and urgent needs, including pandemic surges, natural disasters and other emergency situations, (e) labor disruption staffing for which we provide crucial support for clients involved in strikes of nurses and allied professional staff, and (f) local staffing of all nursing specialties, covering short-term assignments with same-day shifts that potentially last for several weeks.</w:t>
      </w:r>
    </w:p>
    <w:p>
      <w:pPr>
        <w:spacing w:after="0" w:line="282" w:lineRule="exact"/>
        <w:rPr>
          <w:rFonts w:ascii="Times New Roman" w:cs="Times New Roman" w:eastAsia="Times New Roman" w:hAnsi="Times New Roman"/>
          <w:sz w:val="17"/>
          <w:szCs w:val="17"/>
          <w:color w:val="auto"/>
        </w:rPr>
      </w:pPr>
    </w:p>
    <w:p>
      <w:pPr>
        <w:ind w:left="640" w:right="360" w:hanging="320"/>
        <w:spacing w:after="0" w:line="252" w:lineRule="auto"/>
        <w:tabs>
          <w:tab w:leader="none" w:pos="5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Allied Staffing</w:t>
      </w:r>
      <w:r>
        <w:rPr>
          <w:rFonts w:ascii="Times New Roman" w:cs="Times New Roman" w:eastAsia="Times New Roman" w:hAnsi="Times New Roman"/>
          <w:sz w:val="17"/>
          <w:szCs w:val="17"/>
          <w:color w:val="auto"/>
        </w:rPr>
        <w:t>. We provide allied health professionals to acute-care hospitals and other healthcare facilities such as skilled nursing facilities,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rehabilitation clinics, schools, and pharmacies. Allied health professionals include such disciplines as physical therapists, respiratory therapists, occupational therapists, medical and radiology technologists, lab technicians, speech pathologists, rehabilitation assistants and pharmacists. Our solutions for schools feature an advanced teletherapy platform, Televate, and qualified school speech-language pathologists, psychologists, nurses, social workers, and other care providers who provide customized care and interactive learning plans to engage students.</w:t>
      </w:r>
    </w:p>
    <w:p>
      <w:pPr>
        <w:spacing w:after="0" w:line="193" w:lineRule="exact"/>
        <w:rPr>
          <w:rFonts w:ascii="Times New Roman" w:cs="Times New Roman" w:eastAsia="Times New Roman" w:hAnsi="Times New Roman"/>
          <w:sz w:val="17"/>
          <w:szCs w:val="17"/>
          <w:color w:val="auto"/>
        </w:rPr>
      </w:pPr>
    </w:p>
    <w:p>
      <w:pPr>
        <w:ind w:left="640" w:right="180" w:hanging="320"/>
        <w:spacing w:after="0" w:line="286" w:lineRule="auto"/>
        <w:tabs>
          <w:tab w:leader="none" w:pos="5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Revenue Cycle Solutions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provide skilled labor solutions for remote medical coding, clinical documentation improvement, case management,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clinical data registry, and also provide auditing and advisory services.</w:t>
      </w:r>
    </w:p>
    <w:p>
      <w:pPr>
        <w:spacing w:after="0" w:line="163" w:lineRule="exact"/>
        <w:rPr>
          <w:rFonts w:ascii="Times New Roman" w:cs="Times New Roman" w:eastAsia="Times New Roman" w:hAnsi="Times New Roman"/>
          <w:sz w:val="17"/>
          <w:szCs w:val="17"/>
          <w:color w:val="auto"/>
        </w:rPr>
      </w:pPr>
    </w:p>
    <w:p>
      <w:pPr>
        <w:ind w:left="640" w:right="280" w:hanging="320"/>
        <w:spacing w:after="0" w:line="250" w:lineRule="auto"/>
        <w:tabs>
          <w:tab w:leader="none" w:pos="5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Physician and Advanced Practice Staffing</w:t>
      </w:r>
      <w:r>
        <w:rPr>
          <w:rFonts w:ascii="Times New Roman" w:cs="Times New Roman" w:eastAsia="Times New Roman" w:hAnsi="Times New Roman"/>
          <w:sz w:val="17"/>
          <w:szCs w:val="17"/>
          <w:color w:val="auto"/>
        </w:rPr>
        <w:t>. We provide locum tenens staffing services through which we offer clients thousands of physicians of all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specialties and advanced practice and other clinicians. Typically on an independent contractor basis, locum tenens professionals are placed on temporary assignments with all types of healthcare organizations throughout the United States, including hospitals, health systems, medical groups, occupational medical clinics, psychiatric facilities, government institutions and insurance companies. We also offer full-service, permanent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40" w:right="40"/>
        <w:spacing w:after="0" w:line="281" w:lineRule="auto"/>
        <w:rPr>
          <w:sz w:val="20"/>
          <w:szCs w:val="20"/>
          <w:color w:val="auto"/>
        </w:rPr>
      </w:pPr>
      <w:r>
        <w:rPr>
          <w:rFonts w:ascii="Times New Roman" w:cs="Times New Roman" w:eastAsia="Times New Roman" w:hAnsi="Times New Roman"/>
          <w:sz w:val="17"/>
          <w:szCs w:val="17"/>
          <w:color w:val="auto"/>
        </w:rPr>
        <w:t>physician search (also referred to as physician permanent placement) across many specialties and modalities, specializing in recruiting and placing top physicians and advanced practitioner talent in jobs across the country.</w:t>
      </w:r>
    </w:p>
    <w:p>
      <w:pPr>
        <w:spacing w:after="0" w:line="168" w:lineRule="exact"/>
        <w:rPr>
          <w:sz w:val="20"/>
          <w:szCs w:val="20"/>
          <w:color w:val="auto"/>
        </w:rPr>
      </w:pPr>
    </w:p>
    <w:p>
      <w:pPr>
        <w:ind w:left="640" w:right="180" w:hanging="320"/>
        <w:spacing w:after="0" w:line="256" w:lineRule="auto"/>
        <w:tabs>
          <w:tab w:leader="none" w:pos="57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Interim Leadership Staffing</w:t>
      </w:r>
      <w:r>
        <w:rPr>
          <w:rFonts w:ascii="Times New Roman" w:cs="Times New Roman" w:eastAsia="Times New Roman" w:hAnsi="Times New Roman"/>
          <w:sz w:val="17"/>
          <w:szCs w:val="17"/>
          <w:color w:val="auto"/>
        </w:rPr>
        <w:t>. We provide executive and clinical leadership interim staffing. Practice areas include senior healthcare executives,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physician executives, chief nursing officers and other clinical and operational leaders. Interim leaders provide strategic guidance and assist in setting short and long-term goals to offer immediate support, maintain momentum, and contribute leading practices and perspectives. Our interim leaders enjoy the flexibility of a consulting role with the stability of full-time employment.</w:t>
      </w:r>
    </w:p>
    <w:p>
      <w:pPr>
        <w:spacing w:after="0" w:line="188" w:lineRule="exact"/>
        <w:rPr>
          <w:rFonts w:ascii="Times New Roman" w:cs="Times New Roman" w:eastAsia="Times New Roman" w:hAnsi="Times New Roman"/>
          <w:sz w:val="17"/>
          <w:szCs w:val="17"/>
          <w:color w:val="auto"/>
        </w:rPr>
      </w:pPr>
    </w:p>
    <w:p>
      <w:pPr>
        <w:ind w:left="640" w:hanging="320"/>
        <w:spacing w:after="0" w:line="250" w:lineRule="auto"/>
        <w:tabs>
          <w:tab w:leader="none" w:pos="57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Executive Search and Academic Leadership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Augmenting our permanent placement service offerings, we provide executive leadership search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across the healthcare industry with areas of focus including academic medical centers and children’s hospitals nationwide. This business line provides us greater access to the “C-suite” of our clients and prospective clients, which we believe helps improve our visibility as a strategic partner to them and helps provide us with cross-selling opportunities.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Talent Planning &amp; Acquisition</w:t>
      </w:r>
    </w:p>
    <w:p>
      <w:pPr>
        <w:spacing w:after="0" w:line="36" w:lineRule="exact"/>
        <w:rPr>
          <w:sz w:val="20"/>
          <w:szCs w:val="20"/>
          <w:color w:val="auto"/>
        </w:rPr>
      </w:pPr>
    </w:p>
    <w:p>
      <w:pPr>
        <w:ind w:left="640" w:right="80" w:hanging="320"/>
        <w:spacing w:after="0" w:line="246" w:lineRule="auto"/>
        <w:tabs>
          <w:tab w:leader="none" w:pos="57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Managed Services Programs</w:t>
      </w:r>
      <w:r>
        <w:rPr>
          <w:rFonts w:ascii="Times New Roman" w:cs="Times New Roman" w:eastAsia="Times New Roman" w:hAnsi="Times New Roman"/>
          <w:sz w:val="17"/>
          <w:szCs w:val="17"/>
          <w:color w:val="auto"/>
        </w:rPr>
        <w:t>. Many of our clients and prospective clients use a number of healthcare staffing agencies to fulfill their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professional needs. We offer a comprehensive managed services program, in which we manage all or a portion of a client’s contingent staffing needs. Through our MSPs, we place our own healthcare professionals and utilize other staffing agencies to fulfill the client’s needs. We believe an MSP increases efficiencies and often provides cost savings while enhancing the healthcare professional experience. We often use our own VMS technology as part of our staffing-led and vendor-neutral MSPs, which we believe further enhances the value of our service offering. In 2025, we had approximately $1.8 billion in spend under management through our MSPs and approximately 48% of our consolidated revenue flowed through MSP relationships. Together with the vendor-neutral spend through our VMS programs (as discussed below), we had approximately $3.3 billion of spend under management during 2025.</w:t>
      </w:r>
    </w:p>
    <w:p>
      <w:pPr>
        <w:spacing w:after="0" w:line="329" w:lineRule="exact"/>
        <w:rPr>
          <w:rFonts w:ascii="Times New Roman" w:cs="Times New Roman" w:eastAsia="Times New Roman" w:hAnsi="Times New Roman"/>
          <w:sz w:val="17"/>
          <w:szCs w:val="17"/>
          <w:color w:val="auto"/>
        </w:rPr>
      </w:pPr>
    </w:p>
    <w:p>
      <w:pPr>
        <w:ind w:left="640" w:right="140" w:hanging="320"/>
        <w:spacing w:after="0" w:line="256" w:lineRule="auto"/>
        <w:tabs>
          <w:tab w:leader="none" w:pos="57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Recruitment Solutions</w:t>
      </w:r>
      <w:r>
        <w:rPr>
          <w:rFonts w:ascii="Times New Roman" w:cs="Times New Roman" w:eastAsia="Times New Roman" w:hAnsi="Times New Roman"/>
          <w:sz w:val="17"/>
          <w:szCs w:val="17"/>
          <w:color w:val="auto"/>
        </w:rPr>
        <w:t>. We partner with clients to streamline their permanent workforce planning and recruitment process through one efficient, agile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solution. Our recruitment solutions, which many refer to as RPO, are customized to the client’s particular needs, in which we recruit, hire and/or onboard permanent clinical and nonclinical positions on their behalf. We provide technology and data intelligence that enable sustainable, long-term improvement and offer flexible solution options and agile, scalable processes in our pay-for-performance model.</w:t>
      </w:r>
    </w:p>
    <w:p>
      <w:pPr>
        <w:spacing w:after="0" w:line="359" w:lineRule="exact"/>
        <w:rPr>
          <w:rFonts w:ascii="Times New Roman" w:cs="Times New Roman" w:eastAsia="Times New Roman" w:hAnsi="Times New Roman"/>
          <w:sz w:val="17"/>
          <w:szCs w:val="17"/>
          <w:color w:val="auto"/>
        </w:rPr>
      </w:pPr>
    </w:p>
    <w:p>
      <w:pPr>
        <w:ind w:left="560" w:hanging="240"/>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Staff Planning</w:t>
      </w:r>
      <w:r>
        <w:rPr>
          <w:rFonts w:ascii="Times New Roman" w:cs="Times New Roman" w:eastAsia="Times New Roman" w:hAnsi="Times New Roman"/>
          <w:sz w:val="17"/>
          <w:szCs w:val="17"/>
          <w:color w:val="auto"/>
        </w:rPr>
        <w:t>. We provide consulting services to our clients to evaluate their staffing spend and offer recommendations for savings by</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optimizing workforce and scheduling capabilities.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Technology</w:t>
      </w:r>
    </w:p>
    <w:p>
      <w:pPr>
        <w:spacing w:after="0" w:line="36" w:lineRule="exact"/>
        <w:rPr>
          <w:sz w:val="20"/>
          <w:szCs w:val="20"/>
          <w:color w:val="auto"/>
        </w:rPr>
      </w:pPr>
    </w:p>
    <w:p>
      <w:pPr>
        <w:ind w:left="640" w:right="100" w:hanging="320"/>
        <w:spacing w:after="0" w:line="261"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Language Interpretation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AMN Language Services provides healthcare interpretation services via proprietary platforms that enable video remote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interpretation, over the phone interpretation, onsite interpretation, and telehealth interoperability, with more than 400 health systems, more than 2,700 hospitals, and thousands of clinics using our solutions. These services are all supported by proprietary technology platforms which enable real-time routing of video and audio calls, drive client efficiency with an in-person scheduling mobile application, and power interoperability with multiple telehealth platforms and EMRs.</w:t>
      </w:r>
    </w:p>
    <w:p>
      <w:pPr>
        <w:spacing w:after="0" w:line="278" w:lineRule="exact"/>
        <w:rPr>
          <w:rFonts w:ascii="Times New Roman" w:cs="Times New Roman" w:eastAsia="Times New Roman" w:hAnsi="Times New Roman"/>
          <w:sz w:val="17"/>
          <w:szCs w:val="17"/>
          <w:color w:val="auto"/>
        </w:rPr>
      </w:pPr>
    </w:p>
    <w:p>
      <w:pPr>
        <w:ind w:left="640" w:right="500" w:hanging="320"/>
        <w:spacing w:after="0" w:line="265" w:lineRule="auto"/>
        <w:tabs>
          <w:tab w:leader="none" w:pos="65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Vendor Management Systems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addition to our MSP capabilities, we are also a leading provider for vendor-neutral VMS technology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support services for clients that prefer to self-manage the procurement of contingent clinical labor and their internal float pool. If clients use other staffing companies (associate vendors), our software as a service (“SaaS”)-based VMS technologies help them track and efficiently organize their staffing process. Our leading VMS products, which collectively serve clients of all sizes and complexity, are ShiftWise Flex, Medefis and b4health. Our VMS technologies provide, among other things, control over a wide variety of tasks via a single system and consolidated reporting. In 2025, we had approximately $1.4 billion in spend flow through our VMS programs, for which we typically earn a fee as a percentage of spend.</w:t>
      </w:r>
    </w:p>
    <w:p>
      <w:pPr>
        <w:spacing w:after="0" w:line="200" w:lineRule="exact"/>
        <w:rPr>
          <w:sz w:val="20"/>
          <w:szCs w:val="20"/>
          <w:color w:val="auto"/>
        </w:rPr>
      </w:pPr>
    </w:p>
    <w:p>
      <w:pPr>
        <w:spacing w:after="0" w:line="292" w:lineRule="exact"/>
        <w:rPr>
          <w:sz w:val="20"/>
          <w:szCs w:val="20"/>
          <w:color w:val="auto"/>
        </w:rPr>
      </w:pPr>
    </w:p>
    <w:p>
      <w:pPr>
        <w:ind w:right="140" w:firstLine="393"/>
        <w:spacing w:after="0" w:line="297" w:lineRule="auto"/>
        <w:rPr>
          <w:sz w:val="20"/>
          <w:szCs w:val="20"/>
          <w:color w:val="auto"/>
        </w:rPr>
      </w:pPr>
      <w:r>
        <w:rPr>
          <w:rFonts w:ascii="Times New Roman" w:cs="Times New Roman" w:eastAsia="Times New Roman" w:hAnsi="Times New Roman"/>
          <w:sz w:val="17"/>
          <w:szCs w:val="17"/>
          <w:color w:val="auto"/>
        </w:rPr>
        <w:t>We typically experience modest seasonal fluctuations during our fiscal year, and they tend to vary among our businesses and reportable segments. These fluctuations can vary slightly in intensity from year to year.</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Healthcare Professionals</w:t>
      </w:r>
    </w:p>
    <w:p>
      <w:pPr>
        <w:spacing w:after="0" w:line="28" w:lineRule="exact"/>
        <w:rPr>
          <w:sz w:val="20"/>
          <w:szCs w:val="20"/>
          <w:color w:val="auto"/>
        </w:rPr>
      </w:pPr>
    </w:p>
    <w:p>
      <w:pPr>
        <w:ind w:right="180" w:firstLine="393"/>
        <w:spacing w:after="0" w:line="262" w:lineRule="auto"/>
        <w:rPr>
          <w:sz w:val="20"/>
          <w:szCs w:val="20"/>
          <w:color w:val="auto"/>
        </w:rPr>
      </w:pPr>
      <w:r>
        <w:rPr>
          <w:rFonts w:ascii="Times New Roman" w:cs="Times New Roman" w:eastAsia="Times New Roman" w:hAnsi="Times New Roman"/>
          <w:sz w:val="17"/>
          <w:szCs w:val="17"/>
          <w:color w:val="auto"/>
        </w:rPr>
        <w:t>The recruitment of a sufficient number of qualified healthcare professionals to work on temporary assignments and for placement at healthcare organizations is critical to the success of our business. Healthcare professionals choose temporary assignments for a variety of reasons that include seeking flexible work opportunities, exploring diverse practice settings, building skills and experience by working at prestigious healthcare facilities, working through life and career transitions, and as a means of access into a permanent staff position.</w:t>
      </w:r>
    </w:p>
    <w:p>
      <w:pPr>
        <w:spacing w:after="0" w:line="202"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We recruit our healthcare professionals, depending on the particular service line, under the following brands: AMN Healthcare, Nursefinders, O’Grady Peyton International, Connetics, and B.E. Smith. Our recruiting strategy is supported by innovative and effective digital-first marketing programs that focus on lead management, including our digital presence on websites, social media, and mobile applications. Word-of-mouth referrals from the thousands of current and former healthcare professionals we have placed enhance our effectiveness at reaching healthcare professionals.</w:t>
      </w:r>
    </w:p>
    <w:p>
      <w:pPr>
        <w:spacing w:after="0" w:line="196" w:lineRule="exact"/>
        <w:rPr>
          <w:sz w:val="20"/>
          <w:szCs w:val="20"/>
          <w:color w:val="auto"/>
        </w:rPr>
      </w:pPr>
    </w:p>
    <w:p>
      <w:pPr>
        <w:ind w:right="20" w:firstLine="393"/>
        <w:spacing w:after="0" w:line="265" w:lineRule="auto"/>
        <w:rPr>
          <w:sz w:val="20"/>
          <w:szCs w:val="20"/>
          <w:color w:val="auto"/>
        </w:rPr>
      </w:pPr>
      <w:r>
        <w:rPr>
          <w:rFonts w:ascii="Times New Roman" w:cs="Times New Roman" w:eastAsia="Times New Roman" w:hAnsi="Times New Roman"/>
          <w:sz w:val="17"/>
          <w:szCs w:val="17"/>
          <w:color w:val="auto"/>
        </w:rPr>
        <w:t>Our process to attract and retain healthcare professionals for temporary assignments and permanent placement depends on (1) offering a large selection of assignments and placements in a variety of geographies and settings with opportunities for career development, (2) creating competitive compensation packages, (3) developing passionate, knowledgeable recruiters and service professionals who understand the needs of our healthcare professionals and provide a personalized approach, and (4) maintaining a reputation for service excellence. The attractive compensation, benefits and reimbursement package that we provide our temporary healthcare professionals includes a competitive wage, professional development opportunities, professional liability insurance, 401(k) plan, ESPP, health insurance and reimbursements for housing, meals and travel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Geographic Markets and Client Base</w:t>
      </w:r>
    </w:p>
    <w:p>
      <w:pPr>
        <w:spacing w:after="0" w:line="28" w:lineRule="exact"/>
        <w:rPr>
          <w:sz w:val="20"/>
          <w:szCs w:val="20"/>
          <w:color w:val="auto"/>
        </w:rPr>
      </w:pPr>
    </w:p>
    <w:p>
      <w:pPr>
        <w:ind w:right="60" w:firstLine="393"/>
        <w:spacing w:after="0" w:line="265" w:lineRule="auto"/>
        <w:rPr>
          <w:sz w:val="20"/>
          <w:szCs w:val="20"/>
          <w:color w:val="auto"/>
        </w:rPr>
      </w:pPr>
      <w:r>
        <w:rPr>
          <w:rFonts w:ascii="Times New Roman" w:cs="Times New Roman" w:eastAsia="Times New Roman" w:hAnsi="Times New Roman"/>
          <w:sz w:val="17"/>
          <w:szCs w:val="17"/>
          <w:color w:val="auto"/>
        </w:rPr>
        <w:t>During each of the past three years, (1) we generated substantially all our revenue in the United States and (2) substantially all our long-lived assets were located in the United States. We typically generate revenue in all 50 states. During 2025, the largest percentages of our revenue were concentrated in California, New York and Texas.</w:t>
      </w:r>
    </w:p>
    <w:p>
      <w:pPr>
        <w:spacing w:after="0" w:line="198" w:lineRule="exact"/>
        <w:rPr>
          <w:sz w:val="20"/>
          <w:szCs w:val="20"/>
          <w:color w:val="auto"/>
        </w:rPr>
      </w:pPr>
    </w:p>
    <w:p>
      <w:pPr>
        <w:ind w:right="20" w:firstLine="393"/>
        <w:spacing w:after="0" w:line="265" w:lineRule="auto"/>
        <w:rPr>
          <w:sz w:val="20"/>
          <w:szCs w:val="20"/>
          <w:color w:val="auto"/>
        </w:rPr>
      </w:pPr>
      <w:r>
        <w:rPr>
          <w:rFonts w:ascii="Times New Roman" w:cs="Times New Roman" w:eastAsia="Times New Roman" w:hAnsi="Times New Roman"/>
          <w:sz w:val="17"/>
          <w:szCs w:val="17"/>
          <w:color w:val="auto"/>
        </w:rPr>
        <w:t>More than half of our temporary and contract healthcare professional assignments occur at acute-care hospitals. In addition to acute-care hospitals, we provide services to sub-acute healthcare facilities, physician groups, rehabilitation centers, schools, home health service providers and ambulatory surgery centers. Our clients include many of the largest and most prestigious and progressive health care systems in the country. Kaiser Foundation Hospitals (and its affiliates), to whom we provide clinical managed services, comprised approximately 22% of our consolidated revenue and 32% of our nurse and allied solutions segment revenue for the fiscal year ended December 31, 2025. No other client healthcare system or single client facility comprised more than 5% of our consolidated revenue for the fiscal year ended December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Industry</w:t>
      </w:r>
    </w:p>
    <w:p>
      <w:pPr>
        <w:spacing w:after="0" w:line="37" w:lineRule="exact"/>
        <w:rPr>
          <w:sz w:val="20"/>
          <w:szCs w:val="20"/>
          <w:color w:val="auto"/>
        </w:rPr>
      </w:pPr>
    </w:p>
    <w:p>
      <w:pPr>
        <w:ind w:right="220" w:firstLine="393"/>
        <w:spacing w:after="0" w:line="258" w:lineRule="auto"/>
        <w:rPr>
          <w:sz w:val="20"/>
          <w:szCs w:val="20"/>
          <w:color w:val="auto"/>
        </w:rPr>
      </w:pPr>
      <w:r>
        <w:rPr>
          <w:rFonts w:ascii="Times New Roman" w:cs="Times New Roman" w:eastAsia="Times New Roman" w:hAnsi="Times New Roman"/>
          <w:sz w:val="17"/>
          <w:szCs w:val="17"/>
          <w:color w:val="auto"/>
        </w:rPr>
        <w:t>The primary healthcare service markets in which we compete are U.S. temporary and contract healthcare staffing, workforce vendor neutral (i.e., VMS) and managed service programs, locum tenens, and language services. We also operate within the interim leadership, executive search, physician permanent placement, RPO, and workforce optimization and consulting services markets.</w:t>
      </w: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Industry Demand Drivers</w:t>
      </w:r>
    </w:p>
    <w:p>
      <w:pPr>
        <w:spacing w:after="0" w:line="14" w:lineRule="exact"/>
        <w:rPr>
          <w:sz w:val="20"/>
          <w:szCs w:val="20"/>
          <w:color w:val="auto"/>
        </w:rPr>
      </w:pPr>
    </w:p>
    <w:p>
      <w:pPr>
        <w:ind w:right="140" w:firstLine="393"/>
        <w:spacing w:after="0" w:line="257" w:lineRule="auto"/>
        <w:rPr>
          <w:sz w:val="20"/>
          <w:szCs w:val="20"/>
          <w:color w:val="auto"/>
        </w:rPr>
      </w:pPr>
      <w:r>
        <w:rPr>
          <w:rFonts w:ascii="Times New Roman" w:cs="Times New Roman" w:eastAsia="Times New Roman" w:hAnsi="Times New Roman"/>
          <w:sz w:val="17"/>
          <w:szCs w:val="17"/>
          <w:color w:val="auto"/>
        </w:rPr>
        <w:t>Many factors affect the demand for contingent and permanent healthcare talent, which, accordingly, affects the size of the markets in which we primarily operate. Of these many factors, we believe the following serve as some of the most significant drivers of demand.</w:t>
      </w:r>
    </w:p>
    <w:p>
      <w:pPr>
        <w:spacing w:after="0" w:line="1" w:lineRule="exact"/>
        <w:rPr>
          <w:sz w:val="20"/>
          <w:szCs w:val="20"/>
          <w:color w:val="auto"/>
        </w:rPr>
      </w:pPr>
    </w:p>
    <w:p>
      <w:pPr>
        <w:jc w:val="both"/>
        <w:ind w:left="480" w:hanging="200"/>
        <w:spacing w:after="0" w:line="261" w:lineRule="auto"/>
        <w:tabs>
          <w:tab w:leader="none" w:pos="47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Economic Environment and Employment Rate</w:t>
      </w:r>
      <w:r>
        <w:rPr>
          <w:rFonts w:ascii="Times New Roman" w:cs="Times New Roman" w:eastAsia="Times New Roman" w:hAnsi="Times New Roman"/>
          <w:sz w:val="17"/>
          <w:szCs w:val="17"/>
          <w:color w:val="auto"/>
        </w:rPr>
        <w:t>. Demand for our services is affected by growth of the U.S. economy and the employment rate. Growth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real U.S. gross domestic product generally drives rising employment rates. Favorable macro drivers typically result in increased demand for our services. Generally, we believe a positive economic environment and low unemployment lead to increasing demand for healthcare services. As employment levels rise, healthcare facilities, like employers in many industries, experience higher levels of employee attrition and find it increasingly difficult to obtain and retain permanent staff.</w:t>
      </w:r>
    </w:p>
    <w:p>
      <w:pPr>
        <w:spacing w:after="0" w:line="29" w:lineRule="exact"/>
        <w:rPr>
          <w:rFonts w:ascii="Times New Roman" w:cs="Times New Roman" w:eastAsia="Times New Roman" w:hAnsi="Times New Roman"/>
          <w:sz w:val="17"/>
          <w:szCs w:val="17"/>
          <w:color w:val="auto"/>
        </w:rPr>
      </w:pPr>
    </w:p>
    <w:p>
      <w:pPr>
        <w:ind w:left="480" w:right="140" w:hanging="200"/>
        <w:spacing w:after="0" w:line="279" w:lineRule="auto"/>
        <w:tabs>
          <w:tab w:leader="none" w:pos="47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Supply of Healthcare Professionals</w:t>
      </w:r>
      <w:r>
        <w:rPr>
          <w:rFonts w:ascii="Times New Roman" w:cs="Times New Roman" w:eastAsia="Times New Roman" w:hAnsi="Times New Roman"/>
          <w:sz w:val="17"/>
          <w:szCs w:val="17"/>
          <w:color w:val="auto"/>
        </w:rPr>
        <w:t>. While reports differ on the existence and extent of current and future healthcare professional shortages, many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regions of the United States are experiencing a shortage of physicians and nurses that we believe will persist in the future. The Association of American Medical Colleges estimates a nationwide physician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80"/>
        <w:spacing w:after="0" w:line="270" w:lineRule="auto"/>
        <w:rPr>
          <w:sz w:val="20"/>
          <w:szCs w:val="20"/>
          <w:color w:val="auto"/>
        </w:rPr>
      </w:pPr>
      <w:r>
        <w:rPr>
          <w:rFonts w:ascii="Times New Roman" w:cs="Times New Roman" w:eastAsia="Times New Roman" w:hAnsi="Times New Roman"/>
          <w:sz w:val="17"/>
          <w:szCs w:val="17"/>
          <w:color w:val="auto"/>
        </w:rPr>
        <w:t>shortage up to 86,000 by 2036. In nursing, the World Health Organization estimates a worldwide shortage of 4.5 million by 2030. According to the National Council of State Boards of Nursing, approximately 900,000 registered nurses are anticipated to leave the workforce by the end of 2027. Demand for our services is positively correlated with activity in the permanent labor market. When nurse vacancy rates increase, temporary nurse staffing orders typically increase as well.</w:t>
      </w:r>
    </w:p>
    <w:p>
      <w:pPr>
        <w:spacing w:after="0" w:line="21" w:lineRule="exact"/>
        <w:rPr>
          <w:sz w:val="20"/>
          <w:szCs w:val="20"/>
          <w:color w:val="auto"/>
        </w:rPr>
      </w:pPr>
    </w:p>
    <w:p>
      <w:pPr>
        <w:ind w:left="480" w:right="20" w:hanging="200"/>
        <w:spacing w:after="0" w:line="261" w:lineRule="auto"/>
        <w:tabs>
          <w:tab w:leader="none" w:pos="4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General Demand for Healthcare Services</w:t>
      </w:r>
      <w:r>
        <w:rPr>
          <w:rFonts w:ascii="Times New Roman" w:cs="Times New Roman" w:eastAsia="Times New Roman" w:hAnsi="Times New Roman"/>
          <w:sz w:val="17"/>
          <w:szCs w:val="17"/>
          <w:color w:val="auto"/>
        </w:rPr>
        <w:t>. Changes in demand for healthcare services, particularly at acute healthcare hospitals and other inpatient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facilities, like skilled nursing facilities, affect the demand for our services. According to the U.S. Department of Health and Human Services, with the passage of the Affordable Care Act, the uninsured population declined by more than 18 million people between 2010 and 2018. Growth of the insured population contributed to a relatively sharp increase in national healthcare expenditures beginning in 2014. Additionally, the U.S. population continues to age, and medical technology advances are contributing to longer life expectancy. A pronounced shift in U.S. age demographics is expected to boost growth of national health spending, projected by the Centers for Medicare &amp; Medicaid Services to grow at average annual rates of 5.6% and 5.3% from 2026-2027 and 2028-2033, respectively, while Medicare spending growth is projected to increase to average annual rates of 8.9% and 7.4% for the same time periods, respectively. According to the U.S. Census Bureau, the number of adults age 65 or older grew by 13.0% from 2020 to 2024 and is projected to grow an estimated 31% between 2022 and 2035. People over 65 are three times more likely to have a hospital stay and twice as likely to visit a physician office compared with the rest of the population. These dynamics could place upward pressure on demand for the services we provide in the coming years. Not only does the age-demographic shift affect healthcare services demand, it also complicates the supply of skilled labor, as an increasing number of clinicians are aging out of the workforce.</w:t>
      </w:r>
    </w:p>
    <w:p>
      <w:pPr>
        <w:spacing w:after="0" w:line="45" w:lineRule="exact"/>
        <w:rPr>
          <w:rFonts w:ascii="Times New Roman" w:cs="Times New Roman" w:eastAsia="Times New Roman" w:hAnsi="Times New Roman"/>
          <w:sz w:val="17"/>
          <w:szCs w:val="17"/>
          <w:color w:val="auto"/>
        </w:rPr>
      </w:pPr>
    </w:p>
    <w:p>
      <w:pPr>
        <w:ind w:left="480" w:right="160" w:hanging="200"/>
        <w:spacing w:after="0" w:line="264" w:lineRule="auto"/>
        <w:tabs>
          <w:tab w:leader="none" w:pos="4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Adoption of Workforce Solutions</w:t>
      </w:r>
      <w:r>
        <w:rPr>
          <w:rFonts w:ascii="Times New Roman" w:cs="Times New Roman" w:eastAsia="Times New Roman" w:hAnsi="Times New Roman"/>
          <w:sz w:val="17"/>
          <w:szCs w:val="17"/>
          <w:color w:val="auto"/>
        </w:rPr>
        <w:t>. We believe healthcare organizations increasingly seek sophisticated, innovative and economically beneficial total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talent solutions that improve patient experience and outcomes. We believe the prevalence of workforce solutions, such as MSP, VMS, RPO and workforce optimization tools, in the healthcare industry is still underpenetrated in comparison with non-healthcare sectors. During 2025, approximately 48% of our consolidated revenues were generated through MSP relationships.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Industry Competition</w:t>
      </w:r>
    </w:p>
    <w:p>
      <w:pPr>
        <w:spacing w:after="0" w:line="232" w:lineRule="exact"/>
        <w:rPr>
          <w:sz w:val="20"/>
          <w:szCs w:val="20"/>
          <w:color w:val="auto"/>
        </w:rPr>
      </w:pPr>
    </w:p>
    <w:p>
      <w:pPr>
        <w:ind w:firstLine="393"/>
        <w:spacing w:after="0" w:line="263" w:lineRule="auto"/>
        <w:rPr>
          <w:sz w:val="20"/>
          <w:szCs w:val="20"/>
          <w:color w:val="auto"/>
        </w:rPr>
      </w:pPr>
      <w:r>
        <w:rPr>
          <w:rFonts w:ascii="Times New Roman" w:cs="Times New Roman" w:eastAsia="Times New Roman" w:hAnsi="Times New Roman"/>
          <w:sz w:val="17"/>
          <w:szCs w:val="17"/>
          <w:color w:val="auto"/>
        </w:rPr>
        <w:t>The healthcare staffing and workforce solutions industry is highly competitive. We compete in national, regional and local markets for healthcare organization clients and healthcare professionals. We believe that our comprehensive suite of total talent solutions, our commitment to quality and service excellence, our expertise and execution capabilities, and our national footprint create a compelling value proposition for our existing and prospective clients that give us distinct, scalable advantages over smaller, local and regional competitors and companies whose solution offerings, sales and execution capabilities are not as robust. The breadth of our talent solutions allows us to provide even greater value through a more strategic and consultative approach to our clients. In addition, we believe that our size, scale and sophisticated candidate acquisition processes give us access to a larger pool of available, highly-qualified candidates than most of our competitors, while substantial word-of-mouth referral networks enable us to attract, engage, and grow a diverse, high-quality network of healthcare professionals.</w:t>
      </w:r>
    </w:p>
    <w:p>
      <w:pPr>
        <w:spacing w:after="0" w:line="200" w:lineRule="exact"/>
        <w:rPr>
          <w:sz w:val="20"/>
          <w:szCs w:val="20"/>
          <w:color w:val="auto"/>
        </w:rPr>
      </w:pPr>
    </w:p>
    <w:p>
      <w:pPr>
        <w:spacing w:after="0" w:line="215" w:lineRule="exact"/>
        <w:rPr>
          <w:sz w:val="20"/>
          <w:szCs w:val="20"/>
          <w:color w:val="auto"/>
        </w:rPr>
      </w:pPr>
    </w:p>
    <w:p>
      <w:pPr>
        <w:jc w:val="both"/>
        <w:ind w:right="320" w:firstLine="393"/>
        <w:spacing w:after="0" w:line="277" w:lineRule="auto"/>
        <w:rPr>
          <w:sz w:val="20"/>
          <w:szCs w:val="20"/>
          <w:color w:val="auto"/>
        </w:rPr>
      </w:pPr>
      <w:r>
        <w:rPr>
          <w:rFonts w:ascii="Times New Roman" w:cs="Times New Roman" w:eastAsia="Times New Roman" w:hAnsi="Times New Roman"/>
          <w:sz w:val="17"/>
          <w:szCs w:val="17"/>
          <w:color w:val="auto"/>
        </w:rPr>
        <w:t>Larger firms, such as us, also generally have a deeper, more comprehensive infrastructure with a more established operating model and processes that provide the long-term stability and foundation for quality standards recognition, such as the Joint Commission staffing agency certification. As compared to many private firms, we also offer transparency and financial and operational controls, which we believe further enhance the value of our service offering.</w:t>
      </w:r>
    </w:p>
    <w:p>
      <w:pPr>
        <w:spacing w:after="0" w:line="189" w:lineRule="exact"/>
        <w:rPr>
          <w:sz w:val="20"/>
          <w:szCs w:val="20"/>
          <w:color w:val="auto"/>
        </w:rPr>
      </w:pPr>
    </w:p>
    <w:p>
      <w:pPr>
        <w:ind w:right="40" w:firstLine="393"/>
        <w:spacing w:after="0" w:line="261" w:lineRule="auto"/>
        <w:rPr>
          <w:sz w:val="20"/>
          <w:szCs w:val="20"/>
          <w:color w:val="auto"/>
        </w:rPr>
      </w:pPr>
      <w:r>
        <w:rPr>
          <w:rFonts w:ascii="Times New Roman" w:cs="Times New Roman" w:eastAsia="Times New Roman" w:hAnsi="Times New Roman"/>
          <w:sz w:val="17"/>
          <w:szCs w:val="17"/>
          <w:color w:val="auto"/>
        </w:rPr>
        <w:t>We are a leading provider of nurse, allied and locum tenens staffing in the United States. In nurse and allied staffing, we compete with several national competitors together with numerous smaller, regional and local companies. The locum tenens staffing market consists of many small- to mid-sized companies with only a small number of national competitors of which we are one. The healthcare interim leadership staffing, healthcare executive search services, and physician permanent placement services markets, where we believe we hold leading positions, are also highly fragmented and consist of many small- to mid-sized companies that do not have a national footprint. We also believe we have a market-leading share in vendor neutral and managed services solutions, including VMS and MSP, and healthcare language interpretation services. With the stronger competitive market, we believe AMN Healthcare is well-positioned as a tech-centric total talent solutions partner to capitalize on the larger, addressable market through our comprehensive set of workforce and tech-enabled solutions. Our leading competitors vary by segment and include Amergis, Aya Healthcare, CHG Healthcare Services, Cross Country Healthcare, HealthTrust Workforce Solutions, Ingenovis Health, Jackson Healthcare, LanguageLine Solutions, Medical Solutions and Proprio. When recruiting for healthcare professionals, in addition to other executive search and staffing firms, we also compete with hospital systems that have developed their own recruitment departments and internal travel agencies.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Licensure For Our Business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393"/>
        <w:spacing w:after="0" w:line="264" w:lineRule="auto"/>
        <w:rPr>
          <w:sz w:val="20"/>
          <w:szCs w:val="20"/>
          <w:color w:val="auto"/>
        </w:rPr>
      </w:pPr>
      <w:r>
        <w:rPr>
          <w:rFonts w:ascii="Times New Roman" w:cs="Times New Roman" w:eastAsia="Times New Roman" w:hAnsi="Times New Roman"/>
          <w:sz w:val="17"/>
          <w:szCs w:val="17"/>
          <w:color w:val="auto"/>
        </w:rPr>
        <w:t>Some states require state licensure for businesses that employ, assign and/or place healthcare professionals. We believe we are currently licensed in all states that require such licenses and take measures to ensure compliance with all state licensure requirements. In addition, the healthcare professionals who we employ or independently contract with are required to be individually licensed or certified under applicable state laws. We believe we take appropriate and reasonable steps to validate that our healthcare professionals possess all necessary licenses and certifications. We design our internal processes to ensure that the healthcare professionals that we directly place with clients have the appropriate experience, credentials and skills. Our nurse, allied healthcare and locum tenens staffing divisions have received Joint Commission certification. We have also obtained our Credentials Verification Organization certification from the National Committee for Quality Assurance.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Government Regulation</w:t>
      </w:r>
    </w:p>
    <w:p>
      <w:pPr>
        <w:spacing w:after="0" w:line="28" w:lineRule="exact"/>
        <w:rPr>
          <w:sz w:val="20"/>
          <w:szCs w:val="20"/>
          <w:color w:val="auto"/>
        </w:rPr>
      </w:pPr>
    </w:p>
    <w:p>
      <w:pPr>
        <w:ind w:right="280" w:firstLine="393"/>
        <w:spacing w:after="0" w:line="262" w:lineRule="auto"/>
        <w:rPr>
          <w:sz w:val="20"/>
          <w:szCs w:val="20"/>
          <w:color w:val="auto"/>
        </w:rPr>
      </w:pPr>
      <w:r>
        <w:rPr>
          <w:rFonts w:ascii="Times New Roman" w:cs="Times New Roman" w:eastAsia="Times New Roman" w:hAnsi="Times New Roman"/>
          <w:sz w:val="17"/>
          <w:szCs w:val="17"/>
          <w:color w:val="auto"/>
        </w:rPr>
        <w:t>We are subject to the laws of the United States and certain foreign jurisdictions in which we operate and the rules and regulations of various governing bodies, which may differ among jurisdictions. Additionally, individual states often have regulations governing healthcare staffing agencies and technology platforms, requiring registration and various types of certifications and reporting. Compliance with these laws, rules and regulations has not had, and is not expected to have, a material effect on our capital expenditures, results of operations, or competitive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Additional Information</w:t>
      </w:r>
    </w:p>
    <w:p>
      <w:pPr>
        <w:spacing w:after="0" w:line="28" w:lineRule="exact"/>
        <w:rPr>
          <w:sz w:val="20"/>
          <w:szCs w:val="20"/>
          <w:color w:val="auto"/>
        </w:rPr>
      </w:pPr>
    </w:p>
    <w:p>
      <w:pPr>
        <w:ind w:right="20" w:firstLine="393"/>
        <w:spacing w:after="0" w:line="261" w:lineRule="auto"/>
        <w:rPr>
          <w:sz w:val="20"/>
          <w:szCs w:val="20"/>
          <w:color w:val="auto"/>
        </w:rPr>
      </w:pPr>
      <w:r>
        <w:rPr>
          <w:rFonts w:ascii="Times New Roman" w:cs="Times New Roman" w:eastAsia="Times New Roman" w:hAnsi="Times New Roman"/>
          <w:sz w:val="17"/>
          <w:szCs w:val="17"/>
          <w:color w:val="auto"/>
        </w:rPr>
        <w:t>We maintain a corporate website at www.amnhealthcare.com. We make available our annual reports on Form 10-K, quarterly reports on Form 10-Q, current reports on Form 8-K and amendments to these reports, as well as proxy statements and other information free of charge through our website as soon as reasonably practicable after being filed with or furnished to the Securities and Exchange Commission (“SEC”). Such reports, proxy statements and other information are also available on the SEC’s website, http://www.sec.gov. The information found on our website and the SEC’s website is not part of this Annual Report on Form 10-K or any other report we file with or furnish to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Special Note Regarding Forward-Looking Statements</w:t>
      </w:r>
    </w:p>
    <w:p>
      <w:pPr>
        <w:spacing w:after="0" w:line="37" w:lineRule="exact"/>
        <w:rPr>
          <w:sz w:val="20"/>
          <w:szCs w:val="20"/>
          <w:color w:val="auto"/>
        </w:rPr>
      </w:pPr>
    </w:p>
    <w:p>
      <w:pPr>
        <w:ind w:right="60" w:firstLine="393"/>
        <w:spacing w:after="0" w:line="259" w:lineRule="auto"/>
        <w:rPr>
          <w:sz w:val="20"/>
          <w:szCs w:val="20"/>
          <w:color w:val="auto"/>
        </w:rPr>
      </w:pPr>
      <w:r>
        <w:rPr>
          <w:rFonts w:ascii="Times New Roman" w:cs="Times New Roman" w:eastAsia="Times New Roman" w:hAnsi="Times New Roman"/>
          <w:sz w:val="17"/>
          <w:szCs w:val="17"/>
          <w:color w:val="auto"/>
        </w:rPr>
        <w:t>This Annual Report on Form 10-K, including the section entitled “Management’s Discussion and Analysis of Financial Condition and Results of Operations,” contains, and certain oral statements made by management from time to time, may contain, “forward-looking statements” within the meaning of Section 27A of the Securities Act of 1933, as amended (the “Securities Act”), and Section 21E of the Securities Exchange Act of 1934, as amended (the “Exchange Act”), that are subject to safe harbors under the Securities Act and the Exchange Act. We base these forward-looking statements on our current expectations, estimates, forecasts and projections about future events and the industry in which we operate. Forward-looking statements are identified by words such as “believe,” “anticipate,” “expect,” “intend,” “plan,” “will,” “should,” “would,” “project,” “may,” “could,” variations of such words and other similar expressions. In addition, statements that refer to projections of financial items; anticipated growth; future growth and revenue; future economic conditions and performance; plans, objectives and strategies for future operations; and other characterizations of future events or circumstances, are forward-looking statements. Our actual results could differ materially from those discussed in, or implied by, these forward-looking statements. Factors that could cause actual results to differ from those implied by the forward-looking statements in this Annual Report on Form 10-K are described under the caption “Risk Factors” below, elsewhere in this Annual Report on Form 10-K and in our other filings with the SEC. Stockholders, potential investors, and other readers are urged to consider these factors in evaluating the forward-looking statements and cautioned not to place undue reliance on such forward-looking statements. The Company disclaims any obligation to publicly update such forward-looking statements to reflect subsequent events or circumstances.</w:t>
      </w:r>
    </w:p>
    <w:p>
      <w:pPr>
        <w:spacing w:after="0" w:line="22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4"/>
          <w:szCs w:val="24"/>
          <w:b w:val="1"/>
          <w:bCs w:val="1"/>
          <w:color w:val="auto"/>
        </w:rPr>
        <w:t>Item 1A.</w:t>
      </w:r>
      <w:r>
        <w:rPr>
          <w:sz w:val="20"/>
          <w:szCs w:val="20"/>
          <w:color w:val="auto"/>
        </w:rPr>
        <w:tab/>
      </w:r>
      <w:r>
        <w:rPr>
          <w:rFonts w:ascii="Times New Roman" w:cs="Times New Roman" w:eastAsia="Times New Roman" w:hAnsi="Times New Roman"/>
          <w:sz w:val="24"/>
          <w:szCs w:val="24"/>
          <w:b w:val="1"/>
          <w:bCs w:val="1"/>
          <w:i w:val="1"/>
          <w:iCs w:val="1"/>
          <w:color w:val="auto"/>
        </w:rPr>
        <w:t>Risk Factors</w:t>
      </w:r>
    </w:p>
    <w:p>
      <w:pPr>
        <w:spacing w:after="0" w:line="299"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You should carefully read the following risk factors in connection with evaluating us and the forward-looking statements contained in this Annual Report on Form 10-K. Any of the following risks could materially adversely affect our business or our consolidated operating results, financial condition or cash flows, which, in turn, could cause the price of our common stock to decline. The risk factors described below and elsewhere in this Annual Report on Form 10-K are not the only risks we face. Factors we currently do not know, factors that we currently consider immaterial or factors that are not specific to us, such as general economic conditions, may also materially adversely affect our business or our consolidated operating results, financial condition or cash flows. The risk factors described below qualify all forward-looking statements we make, including forward-looking statements within this section entitled “Risk Factors.”</w:t>
      </w:r>
    </w:p>
    <w:p>
      <w:pPr>
        <w:spacing w:after="0" w:line="200" w:lineRule="exact"/>
        <w:rPr>
          <w:sz w:val="20"/>
          <w:szCs w:val="20"/>
          <w:color w:val="auto"/>
        </w:rPr>
      </w:pPr>
    </w:p>
    <w:p>
      <w:pPr>
        <w:ind w:right="640" w:firstLine="393"/>
        <w:spacing w:after="0" w:line="297" w:lineRule="auto"/>
        <w:rPr>
          <w:sz w:val="20"/>
          <w:szCs w:val="20"/>
          <w:color w:val="auto"/>
        </w:rPr>
      </w:pPr>
      <w:r>
        <w:rPr>
          <w:rFonts w:ascii="Times New Roman" w:cs="Times New Roman" w:eastAsia="Times New Roman" w:hAnsi="Times New Roman"/>
          <w:sz w:val="17"/>
          <w:szCs w:val="17"/>
          <w:color w:val="auto"/>
        </w:rPr>
        <w:t>To develop and prioritize the following risk factors, we review risks to our business that are informed by our formal Enterprise Risk Management program, industry trends, the external market and financial environment as well as dialogue with</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7"/>
          <w:szCs w:val="17"/>
          <w:color w:val="auto"/>
        </w:rPr>
        <w:t>leaders throughout our organization. Our risk factor descriptions are intended to convey our assessment of each applicable risk and such assessments are integrated into our strategic and operational planning.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Risk Factors that May Affect the Demand for Our Services</w:t>
      </w:r>
    </w:p>
    <w:p>
      <w:pPr>
        <w:spacing w:after="0" w:line="163"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b w:val="1"/>
          <w:bCs w:val="1"/>
          <w:color w:val="auto"/>
        </w:rPr>
        <w:t>The ability of our clients to increase the efficiency and effectiveness of their staffing management and recruiting efforts may affect the demand for our services that could negatively affect our business.</w:t>
      </w:r>
    </w:p>
    <w:p>
      <w:pPr>
        <w:spacing w:after="0" w:line="105" w:lineRule="exact"/>
        <w:rPr>
          <w:sz w:val="20"/>
          <w:szCs w:val="20"/>
          <w:color w:val="auto"/>
        </w:rPr>
      </w:pPr>
    </w:p>
    <w:p>
      <w:pPr>
        <w:ind w:right="140" w:firstLine="393"/>
        <w:spacing w:after="0" w:line="265" w:lineRule="auto"/>
        <w:rPr>
          <w:sz w:val="20"/>
          <w:szCs w:val="20"/>
          <w:color w:val="auto"/>
        </w:rPr>
      </w:pPr>
      <w:r>
        <w:rPr>
          <w:rFonts w:ascii="Times New Roman" w:cs="Times New Roman" w:eastAsia="Times New Roman" w:hAnsi="Times New Roman"/>
          <w:sz w:val="17"/>
          <w:szCs w:val="17"/>
          <w:color w:val="auto"/>
        </w:rPr>
        <w:t>If our clients are able to increase the effectiveness of their staffing and recruitment functions through analytics, automation, machine learning, artificial intelligence (“AI”) or other advanced technologies or otherwise increase the effectiveness of their permanent hiring or retention of permanent employees, their need for our services may decline. With the advent of technology and more sophisticated staffing management and recruitment processes, including internal “travel,” other healthcare staffing models, and the increasing adoption of AI technologies, clients may be able to successfully increase the efficiency and effectiveness of their internal staffing management and recruiting efforts, through more effective planning and analytic tools, internet- or social media-based recruiting or otherwise. Such new technologies and processes could reduce the demand for our services, which could negatively affect our business.</w:t>
      </w:r>
    </w:p>
    <w:p>
      <w:pPr>
        <w:spacing w:after="0" w:line="198"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7"/>
          <w:szCs w:val="17"/>
          <w:b w:val="1"/>
          <w:bCs w:val="1"/>
          <w:color w:val="auto"/>
        </w:rPr>
        <w:t>Economic downturns, inflation and slow recoveries could result in less demand from clients and pricing pressure that could negatively impact our financial condition.</w:t>
      </w:r>
    </w:p>
    <w:p>
      <w:pPr>
        <w:spacing w:after="0" w:line="92" w:lineRule="exact"/>
        <w:rPr>
          <w:sz w:val="20"/>
          <w:szCs w:val="20"/>
          <w:color w:val="auto"/>
        </w:rPr>
      </w:pPr>
    </w:p>
    <w:p>
      <w:pPr>
        <w:ind w:right="320" w:firstLine="393"/>
        <w:spacing w:after="0" w:line="277" w:lineRule="auto"/>
        <w:rPr>
          <w:sz w:val="20"/>
          <w:szCs w:val="20"/>
          <w:color w:val="auto"/>
        </w:rPr>
      </w:pPr>
      <w:r>
        <w:rPr>
          <w:rFonts w:ascii="Times New Roman" w:cs="Times New Roman" w:eastAsia="Times New Roman" w:hAnsi="Times New Roman"/>
          <w:sz w:val="17"/>
          <w:szCs w:val="17"/>
          <w:color w:val="auto"/>
        </w:rPr>
        <w:t>Demand for staffing services is sensitive to changes in economic activity. Many healthcare facilities utilize temporary healthcare professionals to accommodate an increase in hospital admissions. Conversely, when hospital admissions decrease in economic downturns or periods of high inflation, due to reduced consumer spending, the demand for our temporary healthcare professionals typically declines.</w:t>
      </w:r>
    </w:p>
    <w:p>
      <w:pPr>
        <w:spacing w:after="0" w:line="110" w:lineRule="exact"/>
        <w:rPr>
          <w:sz w:val="20"/>
          <w:szCs w:val="20"/>
          <w:color w:val="auto"/>
        </w:rPr>
      </w:pPr>
    </w:p>
    <w:p>
      <w:pPr>
        <w:ind w:right="40" w:firstLine="393"/>
        <w:spacing w:after="0" w:line="264" w:lineRule="auto"/>
        <w:rPr>
          <w:sz w:val="20"/>
          <w:szCs w:val="20"/>
          <w:color w:val="auto"/>
        </w:rPr>
      </w:pPr>
      <w:r>
        <w:rPr>
          <w:rFonts w:ascii="Times New Roman" w:cs="Times New Roman" w:eastAsia="Times New Roman" w:hAnsi="Times New Roman"/>
          <w:sz w:val="17"/>
          <w:szCs w:val="17"/>
          <w:color w:val="auto"/>
        </w:rPr>
        <w:t>As economic activity slows, hospitals and other healthcare entities typically experience decreased attrition and reduce their use of temporary employees before undertaking layoffs of their regular employees, which results in decreased demand for many of our service offerings. In times of economic downturn and inflation, permanent full-time and part-time healthcare facility staff are generally inclined to work more hours and overtime, resulting in fewer available vacancies and less demand for our services. Fewer placement opportunities for our temporary clinicians, physicians and leaders also impairs our ability to recruit and place them both on a temporary and permanent basis. This may have an even greater negative effect on demand for physicians in certain specialties such as surgery, radiology and anesthesiology. In addition, we may experience pricing pressure during periods of decreased patient occupancy and hospital admissions, negatively affecting our revenue and profitability.</w:t>
      </w:r>
    </w:p>
    <w:p>
      <w:pPr>
        <w:spacing w:after="0" w:line="200" w:lineRule="exact"/>
        <w:rPr>
          <w:sz w:val="20"/>
          <w:szCs w:val="20"/>
          <w:color w:val="auto"/>
        </w:rPr>
      </w:pPr>
    </w:p>
    <w:p>
      <w:pPr>
        <w:ind w:right="100" w:firstLine="393"/>
        <w:spacing w:after="0" w:line="270" w:lineRule="auto"/>
        <w:rPr>
          <w:sz w:val="20"/>
          <w:szCs w:val="20"/>
          <w:color w:val="auto"/>
        </w:rPr>
      </w:pPr>
      <w:r>
        <w:rPr>
          <w:rFonts w:ascii="Times New Roman" w:cs="Times New Roman" w:eastAsia="Times New Roman" w:hAnsi="Times New Roman"/>
          <w:sz w:val="17"/>
          <w:szCs w:val="17"/>
          <w:color w:val="auto"/>
        </w:rPr>
        <w:t>During challenging economic times or in the event of a reduction or elimination of government assistance, our clients, in particular those that rely on government funding, may face reduced demand for their services, reduced revenue, and issues gaining access to sufficient credit, which has resulted in and could in the future result in an impairment or further impairment of their ability to make payments to us, timely or otherwise, for services rendered. If that were to occur, we may further increase our allowance for expected credit losses and our days sales outstanding would be negatively affected.</w:t>
      </w:r>
    </w:p>
    <w:p>
      <w:pPr>
        <w:spacing w:after="0" w:line="194" w:lineRule="exact"/>
        <w:rPr>
          <w:sz w:val="20"/>
          <w:szCs w:val="20"/>
          <w:color w:val="auto"/>
        </w:rPr>
      </w:pPr>
    </w:p>
    <w:p>
      <w:pPr>
        <w:ind w:right="1100"/>
        <w:spacing w:after="0" w:line="299" w:lineRule="auto"/>
        <w:rPr>
          <w:sz w:val="20"/>
          <w:szCs w:val="20"/>
          <w:color w:val="auto"/>
        </w:rPr>
      </w:pPr>
      <w:r>
        <w:rPr>
          <w:rFonts w:ascii="Times New Roman" w:cs="Times New Roman" w:eastAsia="Times New Roman" w:hAnsi="Times New Roman"/>
          <w:sz w:val="17"/>
          <w:szCs w:val="17"/>
          <w:b w:val="1"/>
          <w:bCs w:val="1"/>
          <w:color w:val="auto"/>
        </w:rPr>
        <w:t>If we are unable to anticipate and quickly respond to changing marketplace conditions, such as alternative modes of healthcare delivery, reimbursement and client needs, we may not remain competitive.</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Patient delivery settings continue to evolve, giving rise to alternative modes of healthcare delivery, such as retail medicine, telemedicine and home health.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changes in reimbursement models and government mandates are also impacting healthcare environments.</w:t>
      </w:r>
    </w:p>
    <w:p>
      <w:pPr>
        <w:spacing w:after="0" w:line="232" w:lineRule="exact"/>
        <w:rPr>
          <w:sz w:val="20"/>
          <w:szCs w:val="20"/>
          <w:color w:val="auto"/>
        </w:rPr>
      </w:pPr>
    </w:p>
    <w:p>
      <w:pPr>
        <w:ind w:right="200" w:firstLine="393"/>
        <w:spacing w:after="0" w:line="265" w:lineRule="auto"/>
        <w:rPr>
          <w:sz w:val="20"/>
          <w:szCs w:val="20"/>
          <w:color w:val="auto"/>
        </w:rPr>
      </w:pPr>
      <w:r>
        <w:rPr>
          <w:rFonts w:ascii="Times New Roman" w:cs="Times New Roman" w:eastAsia="Times New Roman" w:hAnsi="Times New Roman"/>
          <w:sz w:val="17"/>
          <w:szCs w:val="17"/>
          <w:color w:val="auto"/>
        </w:rPr>
        <w:t>Our success depends upon our ability to develop innovative workforce solutions, quickly adapt to changing marketplace conditions, such as reimbursement changes, and evolving client needs, comply with new federal or state regulations and differentiate our services and abilities from those of our competitors. The markets in which we compete are highly competitive, and our competitors may respond more quickly to new or emerging client needs and marketplace conditions. The development of new service lines and business models requires close attention to emerging trends and proposed federal and state legislation related to the healthcare industry. If we are unable to anticipate changing marketplace conditions, adapt our current business model to adequately meet changing conditions in the healthcare industry and develop and successfully implement innovative services, we may not remain competitive.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Consolidation of healthcare delivery organizations could negatively affect pricing of our services and increase our concentration risk.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0" w:firstLine="393"/>
        <w:spacing w:after="0" w:line="267" w:lineRule="auto"/>
        <w:rPr>
          <w:sz w:val="20"/>
          <w:szCs w:val="20"/>
          <w:color w:val="auto"/>
        </w:rPr>
      </w:pPr>
      <w:r>
        <w:rPr>
          <w:rFonts w:ascii="Times New Roman" w:cs="Times New Roman" w:eastAsia="Times New Roman" w:hAnsi="Times New Roman"/>
          <w:sz w:val="17"/>
          <w:szCs w:val="17"/>
          <w:color w:val="auto"/>
        </w:rPr>
        <w:t>Consolidation of healthcare delivery organizations provides them with greater leverage in negotiating pricing for services. Consolidations may also result in us losing our ability to work with certain clients because the party acquiring or consolidating with our client may have a previously established service provider they elect to maintain. In addition, our clients may increase their use of intermediaries such as vendor management service companies and group purchasing organizations that may enhance their bargaining power or clients with a larger network of healthcare professionals may develop their own temporary staffing models. These dynamics each separately or together could negatively affect pricing for our services and our ability to maintain certain clients.</w:t>
      </w:r>
    </w:p>
    <w:p>
      <w:pPr>
        <w:spacing w:after="0" w:line="198" w:lineRule="exact"/>
        <w:rPr>
          <w:sz w:val="20"/>
          <w:szCs w:val="20"/>
          <w:color w:val="auto"/>
        </w:rPr>
      </w:pPr>
    </w:p>
    <w:p>
      <w:pPr>
        <w:ind w:firstLine="393"/>
        <w:spacing w:after="0" w:line="270" w:lineRule="auto"/>
        <w:rPr>
          <w:sz w:val="20"/>
          <w:szCs w:val="20"/>
          <w:color w:val="auto"/>
        </w:rPr>
      </w:pPr>
      <w:r>
        <w:rPr>
          <w:rFonts w:ascii="Times New Roman" w:cs="Times New Roman" w:eastAsia="Times New Roman" w:hAnsi="Times New Roman"/>
          <w:sz w:val="17"/>
          <w:szCs w:val="17"/>
          <w:color w:val="auto"/>
        </w:rPr>
        <w:t>Hospital concentration coupled with our managed services contracts means our revenues from some larger health systems have grown and may continue to grow substantially relative to our other revenue sources. For example, Kaiser Foundation Hospitals (and its affiliates) (collectively, “Kaiser”) comprised approximately 22% of our consolidated revenue in 2025. If we were to lose Kaiser as a client or were unable to provide a significant amount of services to Kaiser, whether directly or as a subcontractor, such loss may have a material adverse effect on our revenue, results of operations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Intermediary organizations may impede our ability to secure new and profitable contracts with our clients.</w:t>
      </w:r>
    </w:p>
    <w:p>
      <w:pPr>
        <w:spacing w:after="0" w:line="187" w:lineRule="exact"/>
        <w:rPr>
          <w:sz w:val="20"/>
          <w:szCs w:val="20"/>
          <w:color w:val="auto"/>
        </w:rPr>
      </w:pPr>
    </w:p>
    <w:p>
      <w:pPr>
        <w:ind w:right="80" w:firstLine="393"/>
        <w:spacing w:after="0" w:line="264" w:lineRule="auto"/>
        <w:rPr>
          <w:sz w:val="20"/>
          <w:szCs w:val="20"/>
          <w:color w:val="auto"/>
        </w:rPr>
      </w:pPr>
      <w:r>
        <w:rPr>
          <w:rFonts w:ascii="Times New Roman" w:cs="Times New Roman" w:eastAsia="Times New Roman" w:hAnsi="Times New Roman"/>
          <w:sz w:val="17"/>
          <w:szCs w:val="17"/>
          <w:color w:val="auto"/>
        </w:rPr>
        <w:t>Our business depends upon our ability to maintain our existing contracts and secure new, profitable contracts. Outside of our managed services contracts, our client contracts are not typically exclusive and our clients are generally free to offer temporary staffing assignments to our competitors. Additionally, our clients may choose to purchase these services through intermediaries such as group purchasing organizations or competitors offering MSP services, with whom we establish relationships in order to continue to provide our staffing services to certain healthcare facilities. These intermediaries may negatively affect our ability to obtain new clients and maintain our existing client relationships by impeding our ability to access and contract directly with clients and may also negatively affect the profitability of these client relationships. In addition, our inability to establish relationships with these intermediaries may result in us losing our ability to work with certain healthcare facilities.</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The widespread outbreak of illness or other public health crisis could have an adverse effect on our business, financial condition and results of operations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ind w:right="160" w:firstLine="393"/>
        <w:spacing w:after="0" w:line="229" w:lineRule="auto"/>
        <w:rPr>
          <w:sz w:val="20"/>
          <w:szCs w:val="20"/>
          <w:color w:val="auto"/>
        </w:rPr>
      </w:pPr>
      <w:r>
        <w:rPr>
          <w:rFonts w:ascii="Times New Roman" w:cs="Times New Roman" w:eastAsia="Times New Roman" w:hAnsi="Times New Roman"/>
          <w:sz w:val="17"/>
          <w:szCs w:val="17"/>
          <w:color w:val="auto"/>
        </w:rPr>
        <w:t>Public health crises have adversely affected our business in the past and could negatively impact our business again in the future. The COVID -19 pandemic significantly disrupted the global economy and financial markets and its effects materially impacted demand for our staffing services and workforce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technology solutions.</w:t>
      </w:r>
    </w:p>
    <w:p>
      <w:pPr>
        <w:spacing w:after="0" w:line="217" w:lineRule="exact"/>
        <w:rPr>
          <w:sz w:val="20"/>
          <w:szCs w:val="20"/>
          <w:color w:val="auto"/>
        </w:rPr>
      </w:pPr>
    </w:p>
    <w:p>
      <w:pPr>
        <w:ind w:right="100" w:firstLine="393"/>
        <w:spacing w:after="0" w:line="261" w:lineRule="auto"/>
        <w:rPr>
          <w:sz w:val="20"/>
          <w:szCs w:val="20"/>
          <w:color w:val="auto"/>
        </w:rPr>
      </w:pPr>
      <w:r>
        <w:rPr>
          <w:rFonts w:ascii="Times New Roman" w:cs="Times New Roman" w:eastAsia="Times New Roman" w:hAnsi="Times New Roman"/>
          <w:sz w:val="17"/>
          <w:szCs w:val="17"/>
          <w:color w:val="auto"/>
        </w:rPr>
        <w:t>Initially, demand for some temporary healthcare professionals and services declined as non-essential and elective healthcare was postponed. As the pandemic progressed, demand and bill rates, particularly in our nurse and allied solutions businesses, rose sharply and then declined. The subsequent decline in demand and bill rates negatively affected our revenue, financial condition, and results of operations.</w:t>
      </w:r>
    </w:p>
    <w:p>
      <w:pPr>
        <w:spacing w:after="0" w:line="123" w:lineRule="exact"/>
        <w:rPr>
          <w:sz w:val="20"/>
          <w:szCs w:val="20"/>
          <w:color w:val="auto"/>
        </w:rPr>
      </w:pPr>
    </w:p>
    <w:p>
      <w:pPr>
        <w:ind w:right="40" w:firstLine="393"/>
        <w:spacing w:after="0" w:line="267" w:lineRule="auto"/>
        <w:rPr>
          <w:sz w:val="20"/>
          <w:szCs w:val="20"/>
          <w:color w:val="auto"/>
        </w:rPr>
      </w:pPr>
      <w:r>
        <w:rPr>
          <w:rFonts w:ascii="Times New Roman" w:cs="Times New Roman" w:eastAsia="Times New Roman" w:hAnsi="Times New Roman"/>
          <w:sz w:val="17"/>
          <w:szCs w:val="17"/>
          <w:color w:val="auto"/>
        </w:rPr>
        <w:t>Pandemic-related disruptions also affected our operations due to the unavailability of our corporate team members or healthcare professionals caused by illness, quarantines, travel restrictions, vaccine mandates and other factors that limited our workforce and pool of candidates. Similar challenges could arise in future public health crises. In addition, we have incurred and may in the future incur higher workers’ compensation and health insurance costs, for which we are largely self-insured, along with increased payroll costs related to quarantines. We may also be subject to claims regarding the health and safety of our healthcare professionals and our corporate team members in such circumstances.</w:t>
      </w:r>
    </w:p>
    <w:p>
      <w:pPr>
        <w:spacing w:after="0" w:line="119" w:lineRule="exact"/>
        <w:rPr>
          <w:sz w:val="20"/>
          <w:szCs w:val="20"/>
          <w:color w:val="auto"/>
        </w:rPr>
      </w:pPr>
    </w:p>
    <w:p>
      <w:pPr>
        <w:ind w:right="20" w:firstLine="393"/>
        <w:spacing w:after="0" w:line="277" w:lineRule="auto"/>
        <w:rPr>
          <w:sz w:val="20"/>
          <w:szCs w:val="20"/>
          <w:color w:val="auto"/>
        </w:rPr>
      </w:pPr>
      <w:r>
        <w:rPr>
          <w:rFonts w:ascii="Times New Roman" w:cs="Times New Roman" w:eastAsia="Times New Roman" w:hAnsi="Times New Roman"/>
          <w:sz w:val="17"/>
          <w:szCs w:val="17"/>
          <w:color w:val="auto"/>
        </w:rPr>
        <w:t>The economic impact of the COVID-19 pandemic negatively impacted the financial condition of many hospitals and healthcare systems, and our clients continue to face cost pressures and in turn are looking to decrease expenses, including for contingent labor and other services. Demand for our services has been and may in the future be impacted by these cost pressures.</w:t>
      </w:r>
    </w:p>
    <w:p>
      <w:pPr>
        <w:spacing w:after="0" w:line="189" w:lineRule="exact"/>
        <w:rPr>
          <w:sz w:val="20"/>
          <w:szCs w:val="20"/>
          <w:color w:val="auto"/>
        </w:rPr>
      </w:pPr>
    </w:p>
    <w:p>
      <w:pPr>
        <w:ind w:right="480" w:firstLine="393"/>
        <w:spacing w:after="0" w:line="297" w:lineRule="auto"/>
        <w:rPr>
          <w:sz w:val="20"/>
          <w:szCs w:val="20"/>
          <w:color w:val="auto"/>
        </w:rPr>
      </w:pPr>
      <w:r>
        <w:rPr>
          <w:rFonts w:ascii="Times New Roman" w:cs="Times New Roman" w:eastAsia="Times New Roman" w:hAnsi="Times New Roman"/>
          <w:sz w:val="17"/>
          <w:szCs w:val="17"/>
          <w:color w:val="auto"/>
        </w:rPr>
        <w:t>Additionally, outbreaks of illness, public health crises or reemergence or future strain of COVID-19 could occur and may have similar or even more significant impact on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repeal of or changes to the Patient Protection and Affordable Care Act (“ACA”) may negatively affect the demand for our services.</w:t>
      </w:r>
    </w:p>
    <w:p>
      <w:pPr>
        <w:spacing w:after="0" w:line="252" w:lineRule="exact"/>
        <w:rPr>
          <w:sz w:val="20"/>
          <w:szCs w:val="20"/>
          <w:color w:val="auto"/>
        </w:rPr>
      </w:pPr>
    </w:p>
    <w:p>
      <w:pPr>
        <w:ind w:right="80" w:firstLine="393"/>
        <w:spacing w:after="0" w:line="277" w:lineRule="auto"/>
        <w:rPr>
          <w:sz w:val="20"/>
          <w:szCs w:val="20"/>
          <w:color w:val="auto"/>
        </w:rPr>
      </w:pPr>
      <w:r>
        <w:rPr>
          <w:rFonts w:ascii="Times New Roman" w:cs="Times New Roman" w:eastAsia="Times New Roman" w:hAnsi="Times New Roman"/>
          <w:sz w:val="17"/>
          <w:szCs w:val="17"/>
          <w:color w:val="auto"/>
        </w:rPr>
        <w:t>Since its enactment in 2010, the ACA has significantly expanded access to health insurance, resulting in a substantial reduction in the uninsured population. If there is a rollback of aspects of the ACA, such as Medicaid expansion, or expiration of subsidies, or changes to eligibility and enrollment rules or reduced access to tax credits, it may lead to a reduction in demand for healthcare services and the demand for our services may decline.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color w:val="auto"/>
        </w:rPr>
        <w:t>Since the healthcare regulatory landscape continues to evolve and because future legislative or administrative actions cannot be predicted, significant change or even prolonged uncertainty could negatively affect demand for our services, operating results and our overall business performance.</w:t>
      </w:r>
    </w:p>
    <w:p>
      <w:pPr>
        <w:spacing w:after="0" w:line="157" w:lineRule="exact"/>
        <w:rPr>
          <w:sz w:val="20"/>
          <w:szCs w:val="20"/>
          <w:color w:val="auto"/>
        </w:rPr>
      </w:pPr>
    </w:p>
    <w:p>
      <w:pPr>
        <w:ind w:firstLine="393"/>
        <w:spacing w:after="0" w:line="202" w:lineRule="exact"/>
        <w:rPr>
          <w:sz w:val="20"/>
          <w:szCs w:val="20"/>
          <w:color w:val="auto"/>
        </w:rPr>
      </w:pPr>
      <w:r>
        <w:rPr>
          <w:rFonts w:ascii="Times New Roman" w:cs="Times New Roman" w:eastAsia="Times New Roman" w:hAnsi="Times New Roman"/>
          <w:sz w:val="17"/>
          <w:szCs w:val="17"/>
          <w:color w:val="auto"/>
        </w:rPr>
        <w:t>Our business depends heavily on the regulatory environment governing healthcare delivery, reimbursement, workforce requirements and insurance coverage. Federal and state governments regularly consider, adopt, revise, or rescind policies that affect healthcare providers, payers, and the broader healthcare labor market. These changes may include modifications to licensure or credentialing requirements, reimbursement methodologies, staffing mandates, scope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practice rules, worker classification standards, or federal payment programs. Uncertainty or shifts in administrative priorities, such as changes in enforcement guidance and regulatory interpretation can influence the financial condition and staffing needs of our clients, which in turn can impact demand for our staffing and workforce solutions.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Regulatory and Legal Risk Factors</w:t>
      </w:r>
    </w:p>
    <w:p>
      <w:pPr>
        <w:spacing w:after="0" w:line="137" w:lineRule="exact"/>
        <w:rPr>
          <w:sz w:val="20"/>
          <w:szCs w:val="20"/>
          <w:color w:val="auto"/>
        </w:rPr>
      </w:pPr>
    </w:p>
    <w:p>
      <w:pPr>
        <w:ind w:right="460"/>
        <w:spacing w:after="0" w:line="299" w:lineRule="auto"/>
        <w:rPr>
          <w:sz w:val="20"/>
          <w:szCs w:val="20"/>
          <w:color w:val="auto"/>
        </w:rPr>
      </w:pPr>
      <w:r>
        <w:rPr>
          <w:rFonts w:ascii="Times New Roman" w:cs="Times New Roman" w:eastAsia="Times New Roman" w:hAnsi="Times New Roman"/>
          <w:sz w:val="17"/>
          <w:szCs w:val="17"/>
          <w:b w:val="1"/>
          <w:bCs w:val="1"/>
          <w:color w:val="auto"/>
        </w:rPr>
        <w:t>Investigations, claims and legal proceedings alleging medical malpractice, anti-competitive conduct, violations of employment, privacy and wage regulations and other theories of liability asserted against us could subject us to substantial liabilities.</w:t>
      </w:r>
    </w:p>
    <w:p>
      <w:pPr>
        <w:spacing w:after="0" w:line="171" w:lineRule="exact"/>
        <w:rPr>
          <w:sz w:val="20"/>
          <w:szCs w:val="20"/>
          <w:color w:val="auto"/>
        </w:rPr>
      </w:pPr>
    </w:p>
    <w:p>
      <w:pPr>
        <w:ind w:right="40" w:firstLine="393"/>
        <w:spacing w:after="0" w:line="267" w:lineRule="auto"/>
        <w:rPr>
          <w:sz w:val="20"/>
          <w:szCs w:val="20"/>
          <w:color w:val="auto"/>
        </w:rPr>
      </w:pPr>
      <w:r>
        <w:rPr>
          <w:rFonts w:ascii="Times New Roman" w:cs="Times New Roman" w:eastAsia="Times New Roman" w:hAnsi="Times New Roman"/>
          <w:sz w:val="17"/>
          <w:szCs w:val="17"/>
          <w:color w:val="auto"/>
        </w:rPr>
        <w:t>Like all employers, we must also comply with various laws and regulations relating to employment and pay practices and from time to time have been or may in the future be subject to individual, representative and class action lawsuits related to alleged wage and hour violations under California and Federal law. We are subject to possible claims alleging discrimination, sexual harassment and other similar activities in which we or our hospital and healthcare facility clients and their agents have allegedly engaged. We are also subject to examination of our payroll practices from various federal and state taxation authorities from time to time. While we believe that our employment and pay practices materially comply with relevant laws and regulations, interpretations of these laws</w:t>
      </w:r>
    </w:p>
    <w:p>
      <w:pPr>
        <w:spacing w:after="0" w:line="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change. Because of the nature of our business, the impact of these employment and payroll laws and regulations may have a more pronounced effect on our business. There is a risk that we could be subject to payment of significant additional wages, insurance and employment, and payroll-related taxes and sizeable statutory penalties negatively impacting our financial position, results of operations and cash flows. These laws and regulations may also impede our ability to grow the size and profitability of our operations. In addition, our involvement in these matters and any related adverse rulings may result in increased costs and expenses, cause us from time to time to significantly increase our legal accruals and/or modify our pay practices, all of which would likely have an adverse impact on our financial performance and profitability.</w:t>
      </w:r>
    </w:p>
    <w:p>
      <w:pPr>
        <w:spacing w:after="0" w:line="198" w:lineRule="exact"/>
        <w:rPr>
          <w:sz w:val="20"/>
          <w:szCs w:val="20"/>
          <w:color w:val="auto"/>
        </w:rPr>
      </w:pPr>
    </w:p>
    <w:p>
      <w:pPr>
        <w:ind w:right="60" w:firstLine="393"/>
        <w:spacing w:after="0" w:line="270" w:lineRule="auto"/>
        <w:rPr>
          <w:sz w:val="20"/>
          <w:szCs w:val="20"/>
          <w:color w:val="auto"/>
        </w:rPr>
      </w:pPr>
      <w:r>
        <w:rPr>
          <w:rFonts w:ascii="Times New Roman" w:cs="Times New Roman" w:eastAsia="Times New Roman" w:hAnsi="Times New Roman"/>
          <w:sz w:val="17"/>
          <w:szCs w:val="17"/>
          <w:color w:val="auto"/>
        </w:rPr>
        <w:t>We, along with our clients and healthcare professionals, are subject to investigations, claims and legal actions alleging malpractice or related legal theories. At times, plaintiffs name us in these lawsuits and actions regardless of our contractual obligations, the competency of the healthcare professionals, the standard of care provided by the healthcare professionals, the quality of service that we provided or our actions. In certain instances, we are contractually required to indemnify our clients against some or all of these potential legal actions.</w:t>
      </w:r>
    </w:p>
    <w:p>
      <w:pPr>
        <w:spacing w:after="0" w:line="196" w:lineRule="exact"/>
        <w:rPr>
          <w:sz w:val="20"/>
          <w:szCs w:val="20"/>
          <w:color w:val="auto"/>
        </w:rPr>
      </w:pPr>
    </w:p>
    <w:p>
      <w:pPr>
        <w:ind w:right="40" w:firstLine="393"/>
        <w:spacing w:after="0" w:line="264" w:lineRule="auto"/>
        <w:rPr>
          <w:sz w:val="20"/>
          <w:szCs w:val="20"/>
          <w:color w:val="auto"/>
        </w:rPr>
      </w:pPr>
      <w:r>
        <w:rPr>
          <w:rFonts w:ascii="Times New Roman" w:cs="Times New Roman" w:eastAsia="Times New Roman" w:hAnsi="Times New Roman"/>
          <w:sz w:val="17"/>
          <w:szCs w:val="17"/>
          <w:color w:val="auto"/>
        </w:rPr>
        <w:t>The size and nature of our business requires us to collect substantial personal information of healthcare professionals and other team members that is subject to a myriad of privacy-related laws from multiple jurisdictions that regulate the use and disclosure of such information. In addition, many of our healthcare professionals have access to client proprietary information systems and patient confidential information. We may be required to incur significant costs to comply with mandatory privacy and security standards and protocols imposed by law, regulation, industry standards or contractual obligations with our clients. In addition, an inherent risk of the collection and access to such information includes possible claims from unintentional or intentional misuse, disclosure or use of this information. Such claims may result in negative publicity, injunctive relief, criminal investigations or charges, civil litigation, payment by us of monetary damages or fines, or other adverse effects on our business, which may be material.</w:t>
      </w:r>
    </w:p>
    <w:p>
      <w:pPr>
        <w:spacing w:after="0" w:line="200" w:lineRule="exact"/>
        <w:rPr>
          <w:sz w:val="20"/>
          <w:szCs w:val="20"/>
          <w:color w:val="auto"/>
        </w:rPr>
      </w:pPr>
    </w:p>
    <w:p>
      <w:pPr>
        <w:ind w:right="60" w:firstLine="393"/>
        <w:spacing w:after="0" w:line="297" w:lineRule="auto"/>
        <w:rPr>
          <w:sz w:val="20"/>
          <w:szCs w:val="20"/>
          <w:color w:val="auto"/>
        </w:rPr>
      </w:pPr>
      <w:r>
        <w:rPr>
          <w:rFonts w:ascii="Times New Roman" w:cs="Times New Roman" w:eastAsia="Times New Roman" w:hAnsi="Times New Roman"/>
          <w:sz w:val="17"/>
          <w:szCs w:val="17"/>
          <w:color w:val="auto"/>
        </w:rPr>
        <w:t>We are also subject to certain laws and regulations applicable to recruitment and employment placement agencies with which we must comply in order to continue to conduct business in that specific state.</w:t>
      </w:r>
    </w:p>
    <w:p>
      <w:pPr>
        <w:spacing w:after="0" w:line="172" w:lineRule="exact"/>
        <w:rPr>
          <w:sz w:val="20"/>
          <w:szCs w:val="20"/>
          <w:color w:val="auto"/>
        </w:rPr>
      </w:pPr>
    </w:p>
    <w:p>
      <w:pPr>
        <w:ind w:right="20" w:firstLine="393"/>
        <w:spacing w:after="0" w:line="265" w:lineRule="auto"/>
        <w:rPr>
          <w:sz w:val="20"/>
          <w:szCs w:val="20"/>
          <w:color w:val="auto"/>
        </w:rPr>
      </w:pPr>
      <w:r>
        <w:rPr>
          <w:rFonts w:ascii="Times New Roman" w:cs="Times New Roman" w:eastAsia="Times New Roman" w:hAnsi="Times New Roman"/>
          <w:sz w:val="17"/>
          <w:szCs w:val="17"/>
          <w:color w:val="auto"/>
        </w:rPr>
        <w:t>As we grow and increase our leadership position, we are at greater risk for anti-competitive conduct claims and investigations, such as violation of federal and state antitrust laws and unfair business practices. An environment of high-demand for healthcare staffing support coupled with the healthcare labor shortage, especially with respect to nurse and allied healthcare professionals, has led and may continue to lead to higher wages for healthcare professionals and higher costs to our clients for healthcare staffing. This may lead to claims and investigations into pricing and competitive conduct in the healthcare staffing industry. While we believe that our business practices, including pricing and competitive conduct, comply with all applicable laws and regulations, we may nonetheless be subject to inquiries, claims or investigations which could negatively impact our reputation and business.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60" w:firstLine="393"/>
        <w:spacing w:after="0" w:line="270" w:lineRule="auto"/>
        <w:rPr>
          <w:sz w:val="20"/>
          <w:szCs w:val="20"/>
          <w:color w:val="auto"/>
        </w:rPr>
      </w:pPr>
      <w:r>
        <w:rPr>
          <w:rFonts w:ascii="Times New Roman" w:cs="Times New Roman" w:eastAsia="Times New Roman" w:hAnsi="Times New Roman"/>
          <w:sz w:val="17"/>
          <w:szCs w:val="17"/>
          <w:color w:val="auto"/>
        </w:rPr>
        <w:t>As we incorporate AI and machine learning into our business there are uncertainties in the legal regulatory regime relating to AI that may require significant resources to modify and maintain our business practices to comply with U.S. and non-U.S. laws, the nature of which cannot be determined at this time. If the jurisdictions in which we operate decide to adopt laws governing AI, such legislation may render the use of such technologies challenging, impossible or financially prohibitive.</w:t>
      </w:r>
    </w:p>
    <w:p>
      <w:pPr>
        <w:spacing w:after="0" w:line="196" w:lineRule="exact"/>
        <w:rPr>
          <w:sz w:val="20"/>
          <w:szCs w:val="20"/>
          <w:color w:val="auto"/>
        </w:rPr>
      </w:pPr>
    </w:p>
    <w:p>
      <w:pPr>
        <w:ind w:right="180" w:firstLine="393"/>
        <w:spacing w:after="0" w:line="265" w:lineRule="auto"/>
        <w:rPr>
          <w:sz w:val="20"/>
          <w:szCs w:val="20"/>
          <w:color w:val="auto"/>
        </w:rPr>
      </w:pPr>
      <w:r>
        <w:rPr>
          <w:rFonts w:ascii="Times New Roman" w:cs="Times New Roman" w:eastAsia="Times New Roman" w:hAnsi="Times New Roman"/>
          <w:sz w:val="17"/>
          <w:szCs w:val="17"/>
          <w:color w:val="auto"/>
        </w:rPr>
        <w:t>We maintain various types of insurance coverage for many types of claims, including professional liability, errors and omissions, employment practices and cyber, through commercial insurance carriers and a wholly-owned captive insurance company and for other claims such as wage and hour practices and competition actions, we are uninsured. The cost of defending such claims, even if groundless, could be substantial and the associated negative publicity could adversely affect our ability to attract, retain and place qualified employees and healthcare professionals in the future. We may also experience increased insurance premiums and retention and deductible accruals that we may not be able to pass on to our clients, thereby reducing our profitability. Moreover, our insurance coverage and reserve accruals may not be sufficient to cover all claims against us.</w:t>
      </w:r>
    </w:p>
    <w:p>
      <w:pPr>
        <w:spacing w:after="0" w:line="198"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color w:val="auto"/>
        </w:rPr>
        <w:t>We are subject to federal and state healthcare industry regulation including conduct of operations, costs and payment for services and payment for referrals as well as laws regarding immigration and government contracting.</w:t>
      </w:r>
    </w:p>
    <w:p>
      <w:pPr>
        <w:spacing w:after="0" w:line="171" w:lineRule="exact"/>
        <w:rPr>
          <w:sz w:val="20"/>
          <w:szCs w:val="20"/>
          <w:color w:val="auto"/>
        </w:rPr>
      </w:pPr>
    </w:p>
    <w:p>
      <w:pPr>
        <w:ind w:firstLine="393"/>
        <w:spacing w:after="0" w:line="263" w:lineRule="auto"/>
        <w:rPr>
          <w:sz w:val="20"/>
          <w:szCs w:val="20"/>
          <w:color w:val="auto"/>
        </w:rPr>
      </w:pPr>
      <w:r>
        <w:rPr>
          <w:rFonts w:ascii="Times New Roman" w:cs="Times New Roman" w:eastAsia="Times New Roman" w:hAnsi="Times New Roman"/>
          <w:sz w:val="17"/>
          <w:szCs w:val="17"/>
          <w:color w:val="auto"/>
        </w:rPr>
        <w:t>The healthcare industry is subject to extensive and complex federal and state laws and regulations related to conduct of operations, costs and payment for services and payment for referrals. We provide talent solutions and technologies on a contract basis to our clients, who pay us directly. Accordingly, Medicare, Medicaid and insurance reimbursement policy changes generally do not directly impact us. Nevertheless, reimbursement changes in government programs, particularly Medicare and Medicaid, can and do indirectly affect the demand and the prices paid for our services. For example, our clients could receive reduced or no reimbursements because of a change in the rates or conditions set by federal or state governments that would negatively affect the demand and the prices for our services. Moreover, our hospital, healthcare facility and physician practice group clients could suffer civil and criminal penalties, and be excluded from participating in Medicare, Medicaid and other healthcare programs for failure to comply with applicable laws and regulations that may negatively affect our profitability.</w:t>
      </w:r>
    </w:p>
    <w:p>
      <w:pPr>
        <w:spacing w:after="0" w:line="200" w:lineRule="exact"/>
        <w:rPr>
          <w:sz w:val="20"/>
          <w:szCs w:val="20"/>
          <w:color w:val="auto"/>
        </w:rPr>
      </w:pPr>
    </w:p>
    <w:p>
      <w:pPr>
        <w:spacing w:after="0" w:line="215" w:lineRule="exact"/>
        <w:rPr>
          <w:sz w:val="20"/>
          <w:szCs w:val="20"/>
          <w:color w:val="auto"/>
        </w:rPr>
      </w:pPr>
    </w:p>
    <w:p>
      <w:pPr>
        <w:ind w:right="100" w:firstLine="393"/>
        <w:spacing w:after="0" w:line="267" w:lineRule="auto"/>
        <w:rPr>
          <w:sz w:val="20"/>
          <w:szCs w:val="20"/>
          <w:color w:val="auto"/>
        </w:rPr>
      </w:pPr>
      <w:r>
        <w:rPr>
          <w:rFonts w:ascii="Times New Roman" w:cs="Times New Roman" w:eastAsia="Times New Roman" w:hAnsi="Times New Roman"/>
          <w:sz w:val="17"/>
          <w:szCs w:val="17"/>
          <w:color w:val="auto"/>
        </w:rPr>
        <w:t>In our international nurse business, we recruit registered nurses from outside of the United States who rely on visas to be eligible to be placed or hired directly with healthcare facilities. Visa retrogression, where the date(s) that determine availability for applying for a visa are moved to a later date, has had and may in the future have a negative impact on our international nursing volumes. Additionally, other changes in immigration policy, laws and processes or uncertainty about such policies or uncertainty about enforcement of such policies could also negatively impact other aspects of our business, including demand for our Language Services business, and our financial performance.</w:t>
      </w:r>
    </w:p>
    <w:p>
      <w:pPr>
        <w:spacing w:after="0" w:line="198" w:lineRule="exact"/>
        <w:rPr>
          <w:sz w:val="20"/>
          <w:szCs w:val="20"/>
          <w:color w:val="auto"/>
        </w:rPr>
      </w:pPr>
    </w:p>
    <w:p>
      <w:pPr>
        <w:ind w:right="40" w:firstLine="393"/>
        <w:spacing w:after="0" w:line="265" w:lineRule="auto"/>
        <w:rPr>
          <w:sz w:val="20"/>
          <w:szCs w:val="20"/>
          <w:color w:val="auto"/>
        </w:rPr>
      </w:pPr>
      <w:r>
        <w:rPr>
          <w:rFonts w:ascii="Times New Roman" w:cs="Times New Roman" w:eastAsia="Times New Roman" w:hAnsi="Times New Roman"/>
          <w:sz w:val="17"/>
          <w:szCs w:val="17"/>
          <w:color w:val="auto"/>
        </w:rPr>
        <w:t>A portion of our hospital and healthcare facility clients are state and federal government agencies, where our ability to compete for new contracts and orders, and the profitability of these contracts and orders, may be affected by government legislation, regulation or policy. Additionally, in providing services to state and federal government clients and to clients who participate in state and federal programs, we are also subject to specific laws and regulations, which government agencies have broad latitude to enforce. If we were to be excluded from participation in these programs or should there be regulatory or policy changes or modification of application of existing regulations adverse to us, it would likely materially adversely affect our brand, business, results of operations and cash flows.</w:t>
      </w:r>
    </w:p>
    <w:p>
      <w:pPr>
        <w:spacing w:after="0" w:line="200" w:lineRule="exact"/>
        <w:rPr>
          <w:sz w:val="20"/>
          <w:szCs w:val="20"/>
          <w:color w:val="auto"/>
        </w:rPr>
      </w:pPr>
    </w:p>
    <w:p>
      <w:pPr>
        <w:ind w:right="20" w:firstLine="393"/>
        <w:spacing w:after="0" w:line="262" w:lineRule="auto"/>
        <w:rPr>
          <w:sz w:val="20"/>
          <w:szCs w:val="20"/>
          <w:color w:val="auto"/>
        </w:rPr>
      </w:pPr>
      <w:r>
        <w:rPr>
          <w:rFonts w:ascii="Times New Roman" w:cs="Times New Roman" w:eastAsia="Times New Roman" w:hAnsi="Times New Roman"/>
          <w:sz w:val="17"/>
          <w:szCs w:val="17"/>
          <w:color w:val="auto"/>
        </w:rPr>
        <w:t>We are also subject to certain state laws and regulations applicable to healthcare staffing and “nursing pools” with which we must comply in order to continue to conduct business in that particular state. Regulation relating to healthcare staffing agencies has increased the operational and administrative requirements and increased the cost to provide various of our services in certain states. If regulation of our services continues to increase it could have a negative impact on our ability to profitably provide services in some states. We may also be subject to state laws that impose caps or other limitations on amounts that may be charged to clients for certain types of healthcare staffing, which in turn impacts the wages paid to healthcare professionals and may impact our ability to attract healthcare professionals to assignments in these states. In addition, it is generally our practice to pass along the increased costs associated with higher wages for healthcare professionals on to our clients. If new or additional caps or other price limitations were imposed that prevented us from passing these increased costs on or if the amount that we were able to pass on to our clients is limited, it would likely have an adverse impact on our financial performance and profitability.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challenge to the classification of certain of our healthcare professionals as independent contractors could adversely affect our profitability.</w:t>
      </w:r>
    </w:p>
    <w:p>
      <w:pPr>
        <w:spacing w:after="0" w:line="187" w:lineRule="exact"/>
        <w:rPr>
          <w:sz w:val="20"/>
          <w:szCs w:val="20"/>
          <w:color w:val="auto"/>
        </w:rPr>
      </w:pPr>
    </w:p>
    <w:p>
      <w:pPr>
        <w:ind w:right="160" w:firstLine="393"/>
        <w:spacing w:after="0" w:line="277" w:lineRule="auto"/>
        <w:rPr>
          <w:sz w:val="20"/>
          <w:szCs w:val="20"/>
          <w:color w:val="auto"/>
        </w:rPr>
      </w:pPr>
      <w:r>
        <w:rPr>
          <w:rFonts w:ascii="Times New Roman" w:cs="Times New Roman" w:eastAsia="Times New Roman" w:hAnsi="Times New Roman"/>
          <w:sz w:val="17"/>
          <w:szCs w:val="17"/>
          <w:color w:val="auto"/>
        </w:rPr>
        <w:t>Historically, we have treated our locum tenens, which include physicians and certain advanced practitioners, such as certified nurse anesthetists, nurse practitioners and physician assistants, as independent contractors. Certain state laws regarding classification of independent contractors have been modified in the past few years and as a result, we have altered our</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classification of certain locum tenens providers in certain instances. Other states and/or the Federal government may choose to adopt similar restrictions that may require us to expand our employee classifications for locum tenens. If this occurs, it could increase our employee costs and expenses and could negatively impact our profitability.</w:t>
      </w:r>
    </w:p>
    <w:p>
      <w:pPr>
        <w:spacing w:after="0" w:line="189" w:lineRule="exact"/>
        <w:rPr>
          <w:sz w:val="20"/>
          <w:szCs w:val="20"/>
          <w:color w:val="auto"/>
        </w:rPr>
      </w:pPr>
    </w:p>
    <w:p>
      <w:pPr>
        <w:ind w:right="40" w:firstLine="393"/>
        <w:spacing w:after="0" w:line="264" w:lineRule="auto"/>
        <w:rPr>
          <w:sz w:val="20"/>
          <w:szCs w:val="20"/>
          <w:color w:val="auto"/>
        </w:rPr>
      </w:pPr>
      <w:r>
        <w:rPr>
          <w:rFonts w:ascii="Times New Roman" w:cs="Times New Roman" w:eastAsia="Times New Roman" w:hAnsi="Times New Roman"/>
          <w:sz w:val="17"/>
          <w:szCs w:val="17"/>
          <w:color w:val="auto"/>
        </w:rPr>
        <w:t>In addition, Federal or state taxing authorities may take the position that locum tenens are employees exposing us to additional wage and insurance claims and employment and payroll-related taxes. A reclassification of our locum tenens to employees from independent contractors could result in liability that would have a significant negative impact on our profitability for the period in which such reclassification was implemented, and would require changes to our payroll and related business processes, which could be costly. In addition, many states have laws that prohibit non-physician owned companies from employing physicians, referred to as the “corporate practice of medicine.” If our independent contractor physicians were classified as employees in states that prohibit the corporate practice of medicine, we may be prohibited from conducting our locum tenens staffing business in those states under our current business model, which may have a substantial negative effect on our revenue, results of operations and profitability.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Risk Factors Related to Our Operations, Personnel and Information Systems</w:t>
      </w:r>
    </w:p>
    <w:p>
      <w:pPr>
        <w:spacing w:after="0" w:line="176"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color w:val="auto"/>
        </w:rPr>
        <w:t>If we do not continue to recruit and retain sufficient quality healthcare professionals at reasonable costs, it could increase our operating costs and negatively affect our business and our profitability.</w:t>
      </w:r>
    </w:p>
    <w:p>
      <w:pPr>
        <w:spacing w:after="0" w:line="92" w:lineRule="exact"/>
        <w:rPr>
          <w:sz w:val="20"/>
          <w:szCs w:val="20"/>
          <w:color w:val="auto"/>
        </w:rPr>
      </w:pPr>
    </w:p>
    <w:p>
      <w:pPr>
        <w:ind w:right="180" w:firstLine="393"/>
        <w:spacing w:after="0" w:line="270" w:lineRule="auto"/>
        <w:rPr>
          <w:sz w:val="20"/>
          <w:szCs w:val="20"/>
          <w:color w:val="auto"/>
        </w:rPr>
      </w:pPr>
      <w:r>
        <w:rPr>
          <w:rFonts w:ascii="Times New Roman" w:cs="Times New Roman" w:eastAsia="Times New Roman" w:hAnsi="Times New Roman"/>
          <w:sz w:val="17"/>
          <w:szCs w:val="17"/>
          <w:color w:val="auto"/>
        </w:rPr>
        <w:t>We rely significantly on our ability to recruit and retain a sufficient number of healthcare professionals who possess the skills, experience and licenses necessary to meet the requirements of our clients. With continuing clinician burnout rates, an ongoing shortage of certain qualified nurses and physicians in many areas of the United States and low unemployment rates for nurses and physicians, competition for the hiring of these professionals remains intense. Our ability to recruit temporary and permanent healthcare professionals may be exacerbated by continued low levels of unemployment.</w:t>
      </w:r>
    </w:p>
    <w:p>
      <w:pPr>
        <w:spacing w:after="0" w:line="117" w:lineRule="exact"/>
        <w:rPr>
          <w:sz w:val="20"/>
          <w:szCs w:val="20"/>
          <w:color w:val="auto"/>
        </w:rPr>
      </w:pPr>
    </w:p>
    <w:p>
      <w:pPr>
        <w:ind w:right="80" w:firstLine="393"/>
        <w:spacing w:after="0" w:line="267" w:lineRule="auto"/>
        <w:rPr>
          <w:sz w:val="20"/>
          <w:szCs w:val="20"/>
          <w:color w:val="auto"/>
        </w:rPr>
      </w:pPr>
      <w:r>
        <w:rPr>
          <w:rFonts w:ascii="Times New Roman" w:cs="Times New Roman" w:eastAsia="Times New Roman" w:hAnsi="Times New Roman"/>
          <w:sz w:val="17"/>
          <w:szCs w:val="17"/>
          <w:color w:val="auto"/>
        </w:rPr>
        <w:t>We compete with healthcare staffing companies, recruitment and placement agencies, including online staffing and recruitment agencies, and with hospitals, healthcare facilities and physician practice groups to attract healthcare professionals based on the quantity, diversity and quality of assignments offered, compensation packages, the benefits that we provide and speed and quality of our service. We rely on our tech-enabled, relationship-oriented approach and national infrastructure to enable us to compete in all aspects of our business. We must continually evaluate and expand our healthcare professional network to serve the needs of our clients.</w:t>
      </w:r>
    </w:p>
    <w:p>
      <w:pPr>
        <w:spacing w:after="0" w:line="198"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The costs of recruitment of quality healthcare professionals and providing them with competitive compensation packages may be higher than we anticipate, or we may be unable to pass these costs on to our hospital and healthcare facility clients, which may reduce our profitability. Moreover, if we are unable to recruit temporary and permanent healthcare professionals, our service execution may deteriorate and, as a result, we could lose clients or not meet our service level agreements with these clients that have negative financial repercussions.</w:t>
      </w:r>
    </w:p>
    <w:p>
      <w:pPr>
        <w:spacing w:after="0" w:line="194"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7"/>
          <w:szCs w:val="17"/>
          <w:b w:val="1"/>
          <w:bCs w:val="1"/>
          <w:color w:val="auto"/>
        </w:rPr>
        <w:t>Our inability to implement new infrastructure and technology systems and technology disruptions may adversely affect our operating results and ability to manage our business effectively.</w:t>
      </w:r>
    </w:p>
    <w:p>
      <w:pPr>
        <w:spacing w:after="0" w:line="171" w:lineRule="exact"/>
        <w:rPr>
          <w:sz w:val="20"/>
          <w:szCs w:val="20"/>
          <w:color w:val="auto"/>
        </w:rPr>
      </w:pPr>
    </w:p>
    <w:p>
      <w:pPr>
        <w:ind w:firstLine="393"/>
        <w:spacing w:after="0" w:line="267" w:lineRule="auto"/>
        <w:rPr>
          <w:sz w:val="20"/>
          <w:szCs w:val="20"/>
          <w:color w:val="auto"/>
        </w:rPr>
      </w:pPr>
      <w:r>
        <w:rPr>
          <w:rFonts w:ascii="Times New Roman" w:cs="Times New Roman" w:eastAsia="Times New Roman" w:hAnsi="Times New Roman"/>
          <w:sz w:val="17"/>
          <w:szCs w:val="17"/>
          <w:color w:val="auto"/>
        </w:rPr>
        <w:t>We have technology, operations and human capital infrastructures to support our existing business. Our ability to deliver services to our clients and to manage our commercial technologies, internal systems and data depends largely upon our access to and the performance of our management information and communications systems, including our SaaS-based solutions, client relationship management systems and client/healthcare professional-facing self-service websites and applications. These technology systems also maintain accounting and financial information upon which we depend to fulfill our financial reporting obligations. We must continue to invest in this infrastructure to support our growth, enhance our management and utilization of data and improve our efficiency.</w:t>
      </w:r>
    </w:p>
    <w:p>
      <w:pPr>
        <w:spacing w:after="0" w:line="198" w:lineRule="exact"/>
        <w:rPr>
          <w:sz w:val="20"/>
          <w:szCs w:val="20"/>
          <w:color w:val="auto"/>
        </w:rPr>
      </w:pPr>
    </w:p>
    <w:p>
      <w:pPr>
        <w:ind w:right="240" w:firstLine="393"/>
        <w:spacing w:after="0" w:line="267" w:lineRule="auto"/>
        <w:rPr>
          <w:sz w:val="20"/>
          <w:szCs w:val="20"/>
          <w:color w:val="auto"/>
        </w:rPr>
      </w:pPr>
      <w:r>
        <w:rPr>
          <w:rFonts w:ascii="Times New Roman" w:cs="Times New Roman" w:eastAsia="Times New Roman" w:hAnsi="Times New Roman"/>
          <w:sz w:val="17"/>
          <w:szCs w:val="17"/>
          <w:color w:val="auto"/>
        </w:rPr>
        <w:t>Upgrading current systems and implementing new systems is costly and involves inherent risks, including loss of information, disruption to our normal operations, changes in accounting procedures and internal control over financial reporting, as well as problems achieving accuracy in the conversion of electronic data. Failure to properly or adequately address these issues could result in increased costs, loss of clients, healthcare professionals and talent, the diversion of management’s and employees’ attention and resources and could materially adversely affect our growth, financial and operating results, internal controls over financial reporting and ability to manage our business effectively.</w:t>
      </w:r>
    </w:p>
    <w:p>
      <w:pPr>
        <w:spacing w:after="0" w:line="198"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Additionally, the current legacy systems are subject to other non-environmental risks, including technological obsolescence for which there may not be sufficient redundancy or backup. These systems, and our access to these systems, are not impervious to floods, fire, storms, or other natural disasters, or service interruptions. There also is a potential for intentional and deliberate attacks to our systems, including ransomware, that may lead to service interruptions, data corruption, data theft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7"/>
          <w:szCs w:val="17"/>
          <w:color w:val="auto"/>
        </w:rPr>
        <w:t>or data unavailability. If our current or planned systems do not adequately support our operations, are damaged or disrupted or if we are unable to replace, repair, maintain or expand them, it may adversely affect our business operations and our profitability.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could be harmed if we fail to further develop and evolve our current talent solutions technology offerings and capabilities.</w:t>
      </w:r>
    </w:p>
    <w:p>
      <w:pPr>
        <w:spacing w:after="0" w:line="252" w:lineRule="exact"/>
        <w:rPr>
          <w:sz w:val="20"/>
          <w:szCs w:val="20"/>
          <w:color w:val="auto"/>
        </w:rPr>
      </w:pPr>
    </w:p>
    <w:p>
      <w:pPr>
        <w:ind w:right="120" w:firstLine="393"/>
        <w:spacing w:after="0" w:line="267" w:lineRule="auto"/>
        <w:rPr>
          <w:sz w:val="20"/>
          <w:szCs w:val="20"/>
          <w:color w:val="auto"/>
        </w:rPr>
      </w:pPr>
      <w:r>
        <w:rPr>
          <w:rFonts w:ascii="Times New Roman" w:cs="Times New Roman" w:eastAsia="Times New Roman" w:hAnsi="Times New Roman"/>
          <w:sz w:val="17"/>
          <w:szCs w:val="17"/>
          <w:color w:val="auto"/>
        </w:rPr>
        <w:t>To achieve our strategic objectives and to remain competitive, we must continue to develop and enhance our talent solutions technology offerings and capabilities. This may require the acquisition of equipment and software and the development of new proprietary software and capabilities, either internally or through independent consultants, which may require significant investment of capital. If we are unable to design, develop, acquire, implement and utilize, in a cost-effective manner, technology and information systems that provide the capabilities necessary for us to compete effectively, or for any reason any interruption or loss of our information processing capabilities occurs, this could harm our business, results of operations and financial condition.</w:t>
      </w:r>
    </w:p>
    <w:p>
      <w:pPr>
        <w:spacing w:after="0" w:line="198" w:lineRule="exact"/>
        <w:rPr>
          <w:sz w:val="20"/>
          <w:szCs w:val="20"/>
          <w:color w:val="auto"/>
        </w:rPr>
      </w:pPr>
    </w:p>
    <w:p>
      <w:pPr>
        <w:jc w:val="both"/>
        <w:ind w:right="100" w:firstLine="393"/>
        <w:spacing w:after="0" w:line="277" w:lineRule="auto"/>
        <w:rPr>
          <w:sz w:val="20"/>
          <w:szCs w:val="20"/>
          <w:color w:val="auto"/>
        </w:rPr>
      </w:pPr>
      <w:r>
        <w:rPr>
          <w:rFonts w:ascii="Times New Roman" w:cs="Times New Roman" w:eastAsia="Times New Roman" w:hAnsi="Times New Roman"/>
          <w:sz w:val="17"/>
          <w:szCs w:val="17"/>
          <w:color w:val="auto"/>
        </w:rPr>
        <w:t>In addition, as technology continues to evolve, more tasks currently performed by people may continue to be replaced by automation, robotics, machine learning, AI and other technological advances that may be outside of our control. These technological changes may reduce demand for our services, enable the development of competitive products or services or enable our customers to reduce or bypass the use of our services.</w:t>
      </w:r>
    </w:p>
    <w:p>
      <w:pPr>
        <w:spacing w:after="0" w:line="187" w:lineRule="exact"/>
        <w:rPr>
          <w:sz w:val="20"/>
          <w:szCs w:val="20"/>
          <w:color w:val="auto"/>
        </w:rPr>
      </w:pPr>
    </w:p>
    <w:p>
      <w:pPr>
        <w:jc w:val="both"/>
        <w:ind w:right="100"/>
        <w:spacing w:after="0" w:line="299" w:lineRule="auto"/>
        <w:rPr>
          <w:sz w:val="20"/>
          <w:szCs w:val="20"/>
          <w:color w:val="auto"/>
        </w:rPr>
      </w:pPr>
      <w:r>
        <w:rPr>
          <w:rFonts w:ascii="Times New Roman" w:cs="Times New Roman" w:eastAsia="Times New Roman" w:hAnsi="Times New Roman"/>
          <w:sz w:val="17"/>
          <w:szCs w:val="17"/>
          <w:b w:val="1"/>
          <w:bCs w:val="1"/>
          <w:color w:val="auto"/>
        </w:rPr>
        <w:t>Disruption to or failures of our SaaS-based or technology-enabled services, or our inability to adequately protect our intellectual property rights with respect to such technologies, could reduce client satisfaction, harm our reputation and negatively affect our business.</w:t>
      </w:r>
    </w:p>
    <w:p>
      <w:pPr>
        <w:spacing w:after="0" w:line="171" w:lineRule="exact"/>
        <w:rPr>
          <w:sz w:val="20"/>
          <w:szCs w:val="20"/>
          <w:color w:val="auto"/>
        </w:rPr>
      </w:pPr>
    </w:p>
    <w:p>
      <w:pPr>
        <w:ind w:right="40" w:firstLine="393"/>
        <w:spacing w:after="0" w:line="265" w:lineRule="auto"/>
        <w:rPr>
          <w:sz w:val="20"/>
          <w:szCs w:val="20"/>
          <w:color w:val="auto"/>
        </w:rPr>
      </w:pPr>
      <w:r>
        <w:rPr>
          <w:rFonts w:ascii="Times New Roman" w:cs="Times New Roman" w:eastAsia="Times New Roman" w:hAnsi="Times New Roman"/>
          <w:sz w:val="17"/>
          <w:szCs w:val="17"/>
          <w:color w:val="auto"/>
        </w:rPr>
        <w:t>The performance, reliability and security of our technology-enabled services, including our language interpretation services and SaaS-based technologies, such as AMN Language Services, ShiftWise Flex, Medefis, and b4health, our Event Management System and clinician facing app, AMN Passport, are critical to such offerings’ operations, reputation and ability to attract new clients and clinicians. Some of our clients rely on our SaaS-based technologies to perform certain of their operational functions. Accordingly, any degradation, errors, defects, disruptions or other performance problems with our SaaS-based technologies could damage our or our clients’ operations and reputations and negatively affect our business. If any of these problems occur, our clients may, among other things, terminate their agreements with us or make indemnification or other claims against us, which may also negatively affect us.</w:t>
      </w:r>
    </w:p>
    <w:p>
      <w:pPr>
        <w:spacing w:after="0" w:line="200" w:lineRule="exact"/>
        <w:rPr>
          <w:sz w:val="20"/>
          <w:szCs w:val="20"/>
          <w:color w:val="auto"/>
        </w:rPr>
      </w:pPr>
    </w:p>
    <w:p>
      <w:pPr>
        <w:ind w:right="80" w:firstLine="393"/>
        <w:spacing w:after="0" w:line="267" w:lineRule="auto"/>
        <w:rPr>
          <w:sz w:val="20"/>
          <w:szCs w:val="20"/>
          <w:color w:val="auto"/>
        </w:rPr>
      </w:pPr>
      <w:r>
        <w:rPr>
          <w:rFonts w:ascii="Times New Roman" w:cs="Times New Roman" w:eastAsia="Times New Roman" w:hAnsi="Times New Roman"/>
          <w:sz w:val="17"/>
          <w:szCs w:val="17"/>
          <w:color w:val="auto"/>
        </w:rPr>
        <w:t>Additionally, if we fail to protect our intellectual property rights adequately with respect to our SaaS-based technologies, our competitors might gain access to it, and our business might be harmed. Moreover, if any of our intellectual property rights associated with our SaaS-based technologies are challenged by others or invalidated through litigation, defending our intellectual property rights might also entail significant expense. Accordingly, despite our efforts, we may be unable to prevent third parties from using or infringing upon or misappropriating our intellectual property with respect to our SaaS-based technologies, which may negatively affect our business as it relates to our SaaS-based and technology-enabled service offerings.</w:t>
      </w:r>
    </w:p>
    <w:p>
      <w:pPr>
        <w:spacing w:after="0" w:line="196"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17"/>
          <w:szCs w:val="17"/>
          <w:b w:val="1"/>
          <w:bCs w:val="1"/>
          <w:color w:val="auto"/>
        </w:rPr>
        <w:t>Security breaches and cybersecurity incidents could compromise our information and systems adversely affecting our business operations and reputation subject us to substantial liabilities.</w:t>
      </w:r>
    </w:p>
    <w:p>
      <w:pPr>
        <w:spacing w:after="0" w:line="1" w:lineRule="exact"/>
        <w:rPr>
          <w:sz w:val="20"/>
          <w:szCs w:val="20"/>
          <w:color w:val="auto"/>
        </w:rPr>
      </w:pPr>
    </w:p>
    <w:p>
      <w:pPr>
        <w:ind w:firstLine="393"/>
        <w:spacing w:after="0" w:line="261" w:lineRule="auto"/>
        <w:rPr>
          <w:sz w:val="20"/>
          <w:szCs w:val="20"/>
          <w:color w:val="auto"/>
        </w:rPr>
      </w:pPr>
      <w:r>
        <w:rPr>
          <w:rFonts w:ascii="Times New Roman" w:cs="Times New Roman" w:eastAsia="Times New Roman" w:hAnsi="Times New Roman"/>
          <w:sz w:val="17"/>
          <w:szCs w:val="17"/>
          <w:color w:val="auto"/>
        </w:rPr>
        <w:t>Security breaches, including cyber incidents can result from deliberate attacks or unintentional events. These incidents can include, but are not limited to, gaining unauthorized access to digital systems for purposes of misappropriating assets or sensitive information, ransomware attacks, corrupting data, or causing operational disruption. In the ordinary course of our business, we collect and store sensitive data, such as our proprietary business information and that of our clients as well as personally identifiable information of our healthcare professionals and team members in our data centers, on our networks and in hosted SaaS-based solutions provided by third parties. Our employees and third-party vendors may also have access to, receive and use personal health information in the ordinary course of our business. The secure access to, processing, maintenance and transmission of this information is critical to our operations.</w:t>
      </w:r>
    </w:p>
    <w:p>
      <w:pPr>
        <w:spacing w:after="0" w:line="201" w:lineRule="exact"/>
        <w:rPr>
          <w:sz w:val="20"/>
          <w:szCs w:val="20"/>
          <w:color w:val="auto"/>
        </w:rPr>
      </w:pPr>
    </w:p>
    <w:p>
      <w:pPr>
        <w:ind w:right="140" w:firstLine="393"/>
        <w:spacing w:after="0" w:line="265" w:lineRule="auto"/>
        <w:rPr>
          <w:sz w:val="20"/>
          <w:szCs w:val="20"/>
          <w:color w:val="auto"/>
        </w:rPr>
      </w:pPr>
      <w:r>
        <w:rPr>
          <w:rFonts w:ascii="Times New Roman" w:cs="Times New Roman" w:eastAsia="Times New Roman" w:hAnsi="Times New Roman"/>
          <w:sz w:val="17"/>
          <w:szCs w:val="17"/>
          <w:color w:val="auto"/>
        </w:rPr>
        <w:t>Despite our security measures and business controls, our information technology and infrastructure, including the third party SaaS-based technology in which we store personally identifiable information and other sensitive information of our healthcare professionals may be vulnerable to attacks by hackers, breached due to third-party vendor and/or employee error, malfeasance or other disruptions such as ransomware or subject to the inadvertent or intentional unauthorized release of information. The Company has experienced cyber threats resulting in immaterial cyber incidents and expects cyber threats to continue with varying levels of sophistication. Because the techniques used to obtain unauthorized access, disable or degrade service, or sabotage systems change frequently and may not immediately produce signs of intrusion, we may be unable to</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anticipate these incidents or techniques, timely discover them, or implement adequate preventative measures. Our information technology and other security protocols may not provide sufficient protection, and as a result a security breach could compromise our networks and significant information about us, our employees, healthcare professionals, patients or clients may be accessed, disclosed, lost or stolen. In a situation such as ransomware attack, our access to critical business information and ability to conduct business may be interrupted or impaired. Further, unauthorized use or misuse of AI by the Company’s employees, vendors or others may result in system failures, disruption to business processes, potential misuse of proprietary confidential information, infringement on third-party rights, or disclosure of confidential Company and customer data. The Company’s use of AI may also lead to novel and urgent cybersecurity risks, including access to or the misuse of personal data.</w:t>
      </w:r>
    </w:p>
    <w:p>
      <w:pPr>
        <w:spacing w:after="0" w:line="200" w:lineRule="exact"/>
        <w:rPr>
          <w:sz w:val="20"/>
          <w:szCs w:val="20"/>
          <w:color w:val="auto"/>
        </w:rPr>
      </w:pPr>
    </w:p>
    <w:p>
      <w:pPr>
        <w:ind w:right="80" w:firstLine="393"/>
        <w:spacing w:after="0" w:line="277" w:lineRule="auto"/>
        <w:rPr>
          <w:sz w:val="20"/>
          <w:szCs w:val="20"/>
          <w:color w:val="auto"/>
        </w:rPr>
      </w:pPr>
      <w:r>
        <w:rPr>
          <w:rFonts w:ascii="Times New Roman" w:cs="Times New Roman" w:eastAsia="Times New Roman" w:hAnsi="Times New Roman"/>
          <w:sz w:val="17"/>
          <w:szCs w:val="17"/>
          <w:color w:val="auto"/>
        </w:rPr>
        <w:t>Any such access, disclosure or other loss of information could (1) result in legal claims or proceedings, liability under laws that protect the privacy of personal information and regulatory penalties, (2) disrupt our operations and the services we provide to our clients and (3) damage our reputation, any of which could adversely affect our profitability, revenue and competitive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AI may result in operational challenges or issues, liability, and reputational concerns.</w:t>
      </w:r>
    </w:p>
    <w:p>
      <w:pPr>
        <w:spacing w:after="0" w:line="252" w:lineRule="exact"/>
        <w:rPr>
          <w:sz w:val="20"/>
          <w:szCs w:val="20"/>
          <w:color w:val="auto"/>
        </w:rPr>
      </w:pPr>
    </w:p>
    <w:p>
      <w:pPr>
        <w:ind w:right="20" w:firstLine="393"/>
        <w:spacing w:after="0" w:line="265" w:lineRule="auto"/>
        <w:rPr>
          <w:sz w:val="20"/>
          <w:szCs w:val="20"/>
          <w:color w:val="auto"/>
        </w:rPr>
      </w:pPr>
      <w:r>
        <w:rPr>
          <w:rFonts w:ascii="Times New Roman" w:cs="Times New Roman" w:eastAsia="Times New Roman" w:hAnsi="Times New Roman"/>
          <w:sz w:val="17"/>
          <w:szCs w:val="17"/>
          <w:color w:val="auto"/>
        </w:rPr>
        <w:t>Our business uses and intends to further rely on AI technology, which introduces certain risks including dependency on accurate AI performance, potential data privacy and security breaches, challenges in regulatory compliance, ethical considerations, potential workforce disruption, the risk of intellectual property infringement, and emerging technology risks. While we have established policies governing the use of AI technology, we cannot ensure that our employees, contractors or other agents will adhere to those policies. Failure to address these risks adequately may negatively impact our operations, reputation and financial performance. Additionally, other unforeseen risks stemming from our use and development of AI tools and technology may arise in the future that could adversely affect our business, financial condition and results of operations.</w:t>
      </w:r>
    </w:p>
    <w:p>
      <w:pPr>
        <w:spacing w:after="0" w:line="198"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color w:val="auto"/>
        </w:rPr>
        <w:t>The inability to quickly and properly credential and match quality healthcare professionals with suitable placements may negatively affect demand for our services.</w:t>
      </w:r>
    </w:p>
    <w:p>
      <w:pPr>
        <w:spacing w:after="0" w:line="105" w:lineRule="exact"/>
        <w:rPr>
          <w:sz w:val="20"/>
          <w:szCs w:val="20"/>
          <w:color w:val="auto"/>
        </w:rPr>
      </w:pPr>
    </w:p>
    <w:p>
      <w:pPr>
        <w:ind w:right="20" w:firstLine="393"/>
        <w:spacing w:after="0" w:line="270" w:lineRule="auto"/>
        <w:rPr>
          <w:sz w:val="20"/>
          <w:szCs w:val="20"/>
          <w:color w:val="auto"/>
        </w:rPr>
      </w:pPr>
      <w:r>
        <w:rPr>
          <w:rFonts w:ascii="Times New Roman" w:cs="Times New Roman" w:eastAsia="Times New Roman" w:hAnsi="Times New Roman"/>
          <w:sz w:val="17"/>
          <w:szCs w:val="17"/>
          <w:color w:val="auto"/>
        </w:rPr>
        <w:t>Our success depends on the quality of our healthcare professionals and our ability to quickly and efficiently assist in obtaining licenses and privileges for our healthcare professionals. The speed with which our healthcare professionals can obtain the appropriate licenses, and we can credential them depends in part, on state licensing laws. Roughly 43 states are part of the Enhanced Nurse Compact and over 40 states are part of the Physical Therapy Licensure Compact and Interstate Medical Compact Acts. A decline or change in interstate compact laws can impact our business.</w:t>
      </w:r>
    </w:p>
    <w:p>
      <w:pPr>
        <w:spacing w:after="0" w:line="196" w:lineRule="exact"/>
        <w:rPr>
          <w:sz w:val="20"/>
          <w:szCs w:val="20"/>
          <w:color w:val="auto"/>
        </w:rPr>
      </w:pPr>
    </w:p>
    <w:p>
      <w:pPr>
        <w:ind w:right="40" w:firstLine="393"/>
        <w:spacing w:after="0" w:line="265" w:lineRule="auto"/>
        <w:rPr>
          <w:sz w:val="20"/>
          <w:szCs w:val="20"/>
          <w:color w:val="auto"/>
        </w:rPr>
      </w:pPr>
      <w:r>
        <w:rPr>
          <w:rFonts w:ascii="Times New Roman" w:cs="Times New Roman" w:eastAsia="Times New Roman" w:hAnsi="Times New Roman"/>
          <w:sz w:val="17"/>
          <w:szCs w:val="17"/>
          <w:color w:val="auto"/>
        </w:rPr>
        <w:t>Our ability to ensure the quality of our healthcare professionals also relies heavily on the effectiveness of our data and communication systems as well as properly trained and competent team members and third-party vendors that credential and match healthcare professionals in suitable placements. We also rely on the accuracy and credibility of information provided by licensing bodies and educational institutions. An inability to properly credential, match, and monitor healthcare professionals for acceptable credentials, experience and performance may cause clients to lose confidence in our services that may damage our brand and reputation and result in clients opting to utilize competitors’ services or rely on their own internal resources. The costs and speed with which we provide these credentialing services, which in part is dependent on the availability of our third-party vendors, impact the revenue and profitability of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operations may deteriorate if we are unable to continue to attract, develop and retain our sales and operations team members.</w:t>
      </w:r>
    </w:p>
    <w:p>
      <w:pPr>
        <w:spacing w:after="0" w:line="174" w:lineRule="exact"/>
        <w:rPr>
          <w:sz w:val="20"/>
          <w:szCs w:val="20"/>
          <w:color w:val="auto"/>
        </w:rPr>
      </w:pPr>
    </w:p>
    <w:p>
      <w:pPr>
        <w:ind w:firstLine="393"/>
        <w:spacing w:after="0" w:line="265" w:lineRule="auto"/>
        <w:rPr>
          <w:sz w:val="20"/>
          <w:szCs w:val="20"/>
          <w:color w:val="auto"/>
        </w:rPr>
      </w:pPr>
      <w:r>
        <w:rPr>
          <w:rFonts w:ascii="Times New Roman" w:cs="Times New Roman" w:eastAsia="Times New Roman" w:hAnsi="Times New Roman"/>
          <w:sz w:val="17"/>
          <w:szCs w:val="17"/>
          <w:color w:val="auto"/>
        </w:rPr>
        <w:t>Our success depends heavily upon the recruitment, performance and retention of diverse sales and operations team members who share our values, passion and commitment to customer focus. The number of individuals who meet our qualifications for these positions is limited, and we may experience difficulty in attracting qualified candidates, especially as we diversify our offerings and our business becomes more complex. In addition, we commit substantial resources to the training, development and support of our team members. Competition for qualified sales and operational team members in the line of business in which we operate is strong, and we may not be able to retain a sufficient number of team members after we have expended the time and expense to recruit and train them. In addition, these team members may leave to establish competing businesses.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increasingly dependent on third parties for the execution of certain critical functions.</w:t>
      </w:r>
    </w:p>
    <w:p>
      <w:pPr>
        <w:spacing w:after="0" w:line="34" w:lineRule="exact"/>
        <w:rPr>
          <w:sz w:val="20"/>
          <w:szCs w:val="20"/>
          <w:color w:val="auto"/>
        </w:rPr>
      </w:pPr>
    </w:p>
    <w:p>
      <w:pPr>
        <w:ind w:right="40" w:firstLine="393"/>
        <w:spacing w:after="0" w:line="263" w:lineRule="auto"/>
        <w:rPr>
          <w:sz w:val="20"/>
          <w:szCs w:val="20"/>
          <w:color w:val="auto"/>
        </w:rPr>
      </w:pPr>
      <w:r>
        <w:rPr>
          <w:rFonts w:ascii="Times New Roman" w:cs="Times New Roman" w:eastAsia="Times New Roman" w:hAnsi="Times New Roman"/>
          <w:sz w:val="17"/>
          <w:szCs w:val="17"/>
          <w:color w:val="auto"/>
        </w:rPr>
        <w:t>We have outsourced and offshored certain critical applications or business processes to external providers, including cloud-based, credentialing and data processing services. We exercise care in the selection and oversight of these providers. However, the failure or inability to perform on the part of one or more of these critical partners has caused and could in the future cause disruptions and increased costs. We are also dependent on security measures that some of our third-party vendors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and customers are taking to protect their own systems and infrastructures. If our third-party vendors do not maintain adequate security measures, do not require their sub-contractors to maintain adequate security measures, do not perform as anticipated and in accordance with contractual requirements, or become targets of cyber-attacks, we may experience operational difficulties and increased costs, as well as reputational damage, which could materially and adversely affect our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loss of key officers and management personnel could adversely affect our business and operating results.</w:t>
      </w:r>
    </w:p>
    <w:p>
      <w:pPr>
        <w:spacing w:after="0" w:line="187" w:lineRule="exact"/>
        <w:rPr>
          <w:sz w:val="20"/>
          <w:szCs w:val="20"/>
          <w:color w:val="auto"/>
        </w:rPr>
      </w:pPr>
    </w:p>
    <w:p>
      <w:pPr>
        <w:ind w:right="140" w:firstLine="393"/>
        <w:spacing w:after="0" w:line="277" w:lineRule="auto"/>
        <w:rPr>
          <w:sz w:val="20"/>
          <w:szCs w:val="20"/>
          <w:color w:val="auto"/>
        </w:rPr>
      </w:pPr>
      <w:r>
        <w:rPr>
          <w:rFonts w:ascii="Times New Roman" w:cs="Times New Roman" w:eastAsia="Times New Roman" w:hAnsi="Times New Roman"/>
          <w:sz w:val="17"/>
          <w:szCs w:val="17"/>
          <w:color w:val="auto"/>
        </w:rPr>
        <w:t>We believe that the success of our business strategy and our ability to maintain our recent levels of profitability depends on the continued employment of our senior executive team. All of our executive officers are employees at will with standard severance agreements. If members of our executive team become unable or unwilling to continue in their present positions, our business and financial results could be adversely affected.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inability to maintain our positive brand awareness and identity may adversely affect our results of operations.</w:t>
      </w:r>
    </w:p>
    <w:p>
      <w:pPr>
        <w:spacing w:after="0" w:line="187" w:lineRule="exact"/>
        <w:rPr>
          <w:sz w:val="20"/>
          <w:szCs w:val="20"/>
          <w:color w:val="auto"/>
        </w:rPr>
      </w:pPr>
    </w:p>
    <w:p>
      <w:pPr>
        <w:ind w:right="40" w:firstLine="393"/>
        <w:spacing w:after="0" w:line="263" w:lineRule="auto"/>
        <w:rPr>
          <w:sz w:val="20"/>
          <w:szCs w:val="20"/>
          <w:color w:val="auto"/>
        </w:rPr>
      </w:pPr>
      <w:r>
        <w:rPr>
          <w:rFonts w:ascii="Times New Roman" w:cs="Times New Roman" w:eastAsia="Times New Roman" w:hAnsi="Times New Roman"/>
          <w:sz w:val="17"/>
          <w:szCs w:val="17"/>
          <w:color w:val="auto"/>
        </w:rPr>
        <w:t>We have invested substantial amounts in acquiring, developing and maintaining our brands, and our success depends on our ability to maintain positive brand awareness across business lines and effectively build up or consolidate our brand awareness and image for new services. Many of our brands have strong recognition within their applicable markets. We cannot assure that additional expenditures, our continuing commitment to marketing and improving our brands and executing on our brand and marketing strategies, including changes in brand names, consolidation of brands, or other rebranding efforts to improve the association of our brands with one another, will have the desired effect on our brands’ value and may adversely affect our results of operations and also result in an impairment of the fair market value of intangible assets associated with acquired tradenames. In addition, our brands may suffer reputational damage that could negatively affect our short- and long-term financial results. The poor performance, reputation or negative conduct of competitors may have a spillover effect adversely affecting the industry and our brand.</w:t>
      </w:r>
    </w:p>
    <w:p>
      <w:pPr>
        <w:spacing w:after="0" w:line="199"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color w:val="auto"/>
        </w:rPr>
        <w:t>Our inability to consummate and effectively incorporate acquisitions into our business operations may adversely affect our long-term growth and our results of operations.</w:t>
      </w:r>
    </w:p>
    <w:p>
      <w:pPr>
        <w:spacing w:after="0" w:line="92" w:lineRule="exact"/>
        <w:rPr>
          <w:sz w:val="20"/>
          <w:szCs w:val="20"/>
          <w:color w:val="auto"/>
        </w:rPr>
      </w:pPr>
    </w:p>
    <w:p>
      <w:pPr>
        <w:jc w:val="both"/>
        <w:ind w:right="180" w:firstLine="393"/>
        <w:spacing w:after="0" w:line="277" w:lineRule="auto"/>
        <w:rPr>
          <w:sz w:val="20"/>
          <w:szCs w:val="20"/>
          <w:color w:val="auto"/>
        </w:rPr>
      </w:pPr>
      <w:r>
        <w:rPr>
          <w:rFonts w:ascii="Times New Roman" w:cs="Times New Roman" w:eastAsia="Times New Roman" w:hAnsi="Times New Roman"/>
          <w:sz w:val="17"/>
          <w:szCs w:val="17"/>
          <w:color w:val="auto"/>
        </w:rPr>
        <w:t>We invest time and resources in carefully assessing opportunities for acquisitions, and acquisitions are a key component of our growth strategy. We have made acquisitions in the past several years to broaden the scope and depth of our talent solutions. If we are unable to consummate additional acquisitions, we may not achieve our long-term growth goals.</w:t>
      </w:r>
    </w:p>
    <w:p>
      <w:pPr>
        <w:spacing w:after="0" w:line="110" w:lineRule="exact"/>
        <w:rPr>
          <w:sz w:val="20"/>
          <w:szCs w:val="20"/>
          <w:color w:val="auto"/>
        </w:rPr>
      </w:pPr>
    </w:p>
    <w:p>
      <w:pPr>
        <w:ind w:right="240" w:firstLine="393"/>
        <w:spacing w:after="0" w:line="270" w:lineRule="auto"/>
        <w:rPr>
          <w:sz w:val="20"/>
          <w:szCs w:val="20"/>
          <w:color w:val="auto"/>
        </w:rPr>
      </w:pPr>
      <w:r>
        <w:rPr>
          <w:rFonts w:ascii="Times New Roman" w:cs="Times New Roman" w:eastAsia="Times New Roman" w:hAnsi="Times New Roman"/>
          <w:sz w:val="17"/>
          <w:szCs w:val="17"/>
          <w:color w:val="auto"/>
        </w:rPr>
        <w:t>Despite diligence and integration planning, acquisitions still present certain risks, including the time and economic costs of integrating an acquisition’s technology, control and financial systems, unforeseen liabilities, and the difficulties in bringing together different work cultures and personnel. Difficulties in integrating our acquisitions, including attracting and retaining talent to grow and manage these acquired businesses, may adversely affect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Businesses we acquire may have liabilities or adverse operating issues which could harm our operating results</w:t>
      </w:r>
      <w:r>
        <w:rPr>
          <w:rFonts w:ascii="Times New Roman" w:cs="Times New Roman" w:eastAsia="Times New Roman" w:hAnsi="Times New Roman"/>
          <w:sz w:val="17"/>
          <w:szCs w:val="17"/>
          <w:color w:val="auto"/>
        </w:rPr>
        <w:t>.</w:t>
      </w:r>
    </w:p>
    <w:p>
      <w:pPr>
        <w:spacing w:after="0" w:line="252" w:lineRule="exact"/>
        <w:rPr>
          <w:sz w:val="20"/>
          <w:szCs w:val="20"/>
          <w:color w:val="auto"/>
        </w:rPr>
      </w:pPr>
    </w:p>
    <w:p>
      <w:pPr>
        <w:ind w:right="40" w:firstLine="393"/>
        <w:spacing w:after="0" w:line="267" w:lineRule="auto"/>
        <w:rPr>
          <w:sz w:val="20"/>
          <w:szCs w:val="20"/>
          <w:color w:val="auto"/>
        </w:rPr>
      </w:pPr>
      <w:r>
        <w:rPr>
          <w:rFonts w:ascii="Times New Roman" w:cs="Times New Roman" w:eastAsia="Times New Roman" w:hAnsi="Times New Roman"/>
          <w:sz w:val="17"/>
          <w:szCs w:val="17"/>
          <w:color w:val="auto"/>
        </w:rPr>
        <w:t>Businesses we acquire may have liabilities or adverse operating issues, or both, that we either fail to discover through due diligence or underestimate prior to the consummation of the acquisition. These liabilities and/or issues may include the acquired business’ failure to comply with, or other violations of, applicable laws, rules, or regulations or contractual or other obligations or liabilities. As the successor owner, we may be financially responsible for, and may suffer harm to our reputation or otherwise be adversely affected by, such liabilities and/or issues. These and any other costs, liabilities, issues, and/or disruptions associated with any past or future acquisitions could harm our reputation and operating results.</w:t>
      </w:r>
    </w:p>
    <w:p>
      <w:pPr>
        <w:spacing w:after="0" w:line="198" w:lineRule="exact"/>
        <w:rPr>
          <w:sz w:val="20"/>
          <w:szCs w:val="20"/>
          <w:color w:val="auto"/>
        </w:rPr>
      </w:pPr>
    </w:p>
    <w:p>
      <w:pPr>
        <w:ind w:right="140" w:firstLine="393"/>
        <w:spacing w:after="0" w:line="270" w:lineRule="auto"/>
        <w:rPr>
          <w:sz w:val="20"/>
          <w:szCs w:val="20"/>
          <w:color w:val="auto"/>
        </w:rPr>
      </w:pPr>
      <w:r>
        <w:rPr>
          <w:rFonts w:ascii="Times New Roman" w:cs="Times New Roman" w:eastAsia="Times New Roman" w:hAnsi="Times New Roman"/>
          <w:sz w:val="17"/>
          <w:szCs w:val="17"/>
          <w:color w:val="auto"/>
        </w:rPr>
        <w:t>In addition, future acquisitions are accompanied by the risk that the obligations and liabilities of an acquired company may not be adequately reflected in the historical financial statements of that company and the risk that those historical financial statements may be based on assumptions that are incorrect or inconsistent with our assumptions or approach to accounting policies. Any of these material obligations, liabilities or incorrect or inconsistent assumptions could adversely impact our results of operations and financial condition.</w:t>
      </w:r>
    </w:p>
    <w:p>
      <w:pPr>
        <w:spacing w:after="0" w:line="194"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7"/>
          <w:szCs w:val="17"/>
          <w:b w:val="1"/>
          <w:bCs w:val="1"/>
          <w:color w:val="auto"/>
        </w:rPr>
        <w:t>As we develop new services and clients, enter new lines of business, and focus more of our business on providing a full range of talent solutions, the demands on our business and our operating risks may increase.</w:t>
      </w:r>
    </w:p>
    <w:p>
      <w:pPr>
        <w:spacing w:after="0" w:line="144" w:lineRule="exact"/>
        <w:rPr>
          <w:sz w:val="20"/>
          <w:szCs w:val="20"/>
          <w:color w:val="auto"/>
        </w:rPr>
      </w:pPr>
    </w:p>
    <w:p>
      <w:pPr>
        <w:jc w:val="both"/>
        <w:ind w:right="480" w:firstLine="393"/>
        <w:spacing w:after="0" w:line="277" w:lineRule="auto"/>
        <w:rPr>
          <w:sz w:val="20"/>
          <w:szCs w:val="20"/>
          <w:color w:val="auto"/>
        </w:rPr>
      </w:pPr>
      <w:r>
        <w:rPr>
          <w:rFonts w:ascii="Times New Roman" w:cs="Times New Roman" w:eastAsia="Times New Roman" w:hAnsi="Times New Roman"/>
          <w:sz w:val="17"/>
          <w:szCs w:val="17"/>
          <w:color w:val="auto"/>
        </w:rPr>
        <w:t>As part of our strategy, we plan to extend our services to new healthcare settings, clients, and new lines of business. As we focus on developing new services, capabilities, clients, practice areas and lines of business, and engage in business in new geographic locations, our operations may be exposed to additional as well as enhanced risks.</w:t>
      </w:r>
    </w:p>
    <w:p>
      <w:pPr>
        <w:spacing w:after="0" w:line="189" w:lineRule="exact"/>
        <w:rPr>
          <w:sz w:val="20"/>
          <w:szCs w:val="20"/>
          <w:color w:val="auto"/>
        </w:rPr>
      </w:pPr>
    </w:p>
    <w:p>
      <w:pPr>
        <w:ind w:right="640" w:firstLine="393"/>
        <w:spacing w:after="0" w:line="297" w:lineRule="auto"/>
        <w:rPr>
          <w:sz w:val="20"/>
          <w:szCs w:val="20"/>
          <w:color w:val="auto"/>
        </w:rPr>
      </w:pPr>
      <w:r>
        <w:rPr>
          <w:rFonts w:ascii="Times New Roman" w:cs="Times New Roman" w:eastAsia="Times New Roman" w:hAnsi="Times New Roman"/>
          <w:sz w:val="17"/>
          <w:szCs w:val="17"/>
          <w:color w:val="auto"/>
        </w:rPr>
        <w:t>In particular, our growth efforts place substantial additional demands on our management and other team members, as well as on our information, financial, administrative, compliance and operational systems. We may not be able to manage these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demands successfully. Growth may require increased recruiting efforts, increased regulatory and compliance efforts, increased business development, selling, marketing and other actions that are expensive and entail increased risk. We may need to invest more in our people and systems, controls, compliance efforts, policies and procedures than we anticipate. As our business continues to evolve and we provide a wider range of services, we will become increasingly dependent upon our employees, particularly those operating in business environments less familiar to us. Failure to identify, hire, train and retain talented employees who share our values could have a negative effect on our reputation and our business.</w:t>
      </w:r>
    </w:p>
    <w:p>
      <w:pPr>
        <w:spacing w:after="0" w:line="198" w:lineRule="exact"/>
        <w:rPr>
          <w:sz w:val="20"/>
          <w:szCs w:val="20"/>
          <w:color w:val="auto"/>
        </w:rPr>
      </w:pPr>
    </w:p>
    <w:p>
      <w:pPr>
        <w:ind w:right="200" w:firstLine="393"/>
        <w:spacing w:after="0" w:line="297" w:lineRule="auto"/>
        <w:rPr>
          <w:sz w:val="20"/>
          <w:szCs w:val="20"/>
          <w:color w:val="auto"/>
        </w:rPr>
      </w:pPr>
      <w:r>
        <w:rPr>
          <w:rFonts w:ascii="Times New Roman" w:cs="Times New Roman" w:eastAsia="Times New Roman" w:hAnsi="Times New Roman"/>
          <w:sz w:val="17"/>
          <w:szCs w:val="17"/>
          <w:color w:val="auto"/>
        </w:rPr>
        <w:t>The demands that our current and future growth place on our people and systems, controls, compliance efforts, policies and procedures may exceed the benefits of such growth, and our operating results may suffer, at least in the short-term, and perhaps in the long-term.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use of social media platforms presents risks and challenges that can cause damage to our brand and reputation.</w:t>
      </w:r>
    </w:p>
    <w:p>
      <w:pPr>
        <w:spacing w:after="0" w:line="252" w:lineRule="exact"/>
        <w:rPr>
          <w:sz w:val="20"/>
          <w:szCs w:val="20"/>
          <w:color w:val="auto"/>
        </w:rPr>
      </w:pPr>
    </w:p>
    <w:p>
      <w:pPr>
        <w:ind w:firstLine="393"/>
        <w:spacing w:after="0" w:line="267" w:lineRule="auto"/>
        <w:rPr>
          <w:sz w:val="20"/>
          <w:szCs w:val="20"/>
          <w:color w:val="auto"/>
        </w:rPr>
      </w:pPr>
      <w:r>
        <w:rPr>
          <w:rFonts w:ascii="Times New Roman" w:cs="Times New Roman" w:eastAsia="Times New Roman" w:hAnsi="Times New Roman"/>
          <w:sz w:val="17"/>
          <w:szCs w:val="17"/>
          <w:color w:val="auto"/>
        </w:rPr>
        <w:t>The extensive use of social media platforms, including blogs, social media websites and other forms of internet-communication in our industry allows access to a broad audience of interested parties. The inappropriate and/or unauthorized use of certain media vehicles by our clients, vendors, employees and contractors could increase costs, cause damage to our brand, or result in information leakage that could lead to legal implications, including improper collection and/or dissemination of personally identifiable information of candidates and clients. In addition, negative or inaccurate posts or comments about us on any social networking website could damage our reputation, brand image and goodwill.</w:t>
      </w:r>
    </w:p>
    <w:p>
      <w:pPr>
        <w:spacing w:after="0" w:line="196"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7"/>
          <w:szCs w:val="17"/>
          <w:b w:val="1"/>
          <w:bCs w:val="1"/>
          <w:color w:val="auto"/>
        </w:rPr>
        <w:t>We maintain a substantial amount of goodwill and intangible assets on our balance sheet that may decrease our earnings or increase our losses if we recognize an impairment to goodwill or intangible assets.</w:t>
      </w:r>
    </w:p>
    <w:p>
      <w:pPr>
        <w:spacing w:after="0" w:line="105" w:lineRule="exact"/>
        <w:rPr>
          <w:sz w:val="20"/>
          <w:szCs w:val="20"/>
          <w:color w:val="auto"/>
        </w:rPr>
      </w:pPr>
    </w:p>
    <w:p>
      <w:pPr>
        <w:ind w:right="60" w:firstLine="393"/>
        <w:spacing w:after="0" w:line="264" w:lineRule="auto"/>
        <w:rPr>
          <w:sz w:val="20"/>
          <w:szCs w:val="20"/>
          <w:color w:val="auto"/>
        </w:rPr>
      </w:pPr>
      <w:r>
        <w:rPr>
          <w:rFonts w:ascii="Times New Roman" w:cs="Times New Roman" w:eastAsia="Times New Roman" w:hAnsi="Times New Roman"/>
          <w:sz w:val="17"/>
          <w:szCs w:val="17"/>
          <w:color w:val="auto"/>
        </w:rPr>
        <w:t>We maintain goodwill on our balance sheet, which represents the excess of the total purchase price of our acquisitions over the fair value of the net assets and intangible assets we acquired. We evaluate goodwill and intangible assets for impairment annually or when evidence of potential impairment exists, respectively. If we identify an impairment, we record a non-cash charge to earnings. During the year ended December 31, 2025, we recognized a goodwill impairment loss totaling $109.5 million and a long-lived assets impairment loss totaling $18.3 million .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Goodwill and Identifiable Intangible Assets.” We may have additional impairment losses in connection with our periodic evaluation of our goodwill and intangible assets. In the event of further impairment, a non-cash impairment charge could have a material adverse effect on our results of operations and balance sheet.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Risk Factors Related to Our Indebtedness and Other Liabilities</w:t>
      </w:r>
    </w:p>
    <w:p>
      <w:pPr>
        <w:spacing w:after="0" w:line="176" w:lineRule="exact"/>
        <w:rPr>
          <w:sz w:val="20"/>
          <w:szCs w:val="20"/>
          <w:color w:val="auto"/>
        </w:rPr>
      </w:pPr>
    </w:p>
    <w:p>
      <w:pPr>
        <w:ind w:right="540"/>
        <w:spacing w:after="0" w:line="299" w:lineRule="auto"/>
        <w:rPr>
          <w:sz w:val="20"/>
          <w:szCs w:val="20"/>
          <w:color w:val="auto"/>
        </w:rPr>
      </w:pPr>
      <w:r>
        <w:rPr>
          <w:rFonts w:ascii="Times New Roman" w:cs="Times New Roman" w:eastAsia="Times New Roman" w:hAnsi="Times New Roman"/>
          <w:sz w:val="17"/>
          <w:szCs w:val="17"/>
          <w:b w:val="1"/>
          <w:bCs w:val="1"/>
          <w:color w:val="auto"/>
        </w:rPr>
        <w:t>Our indebtedness could adversely affect our ability to raise additional capital to fund our operations, limit our ability to react to changes in the economy or our industry, and expose us to interest rate risk to the extent of any variable rate debt.</w:t>
      </w:r>
    </w:p>
    <w:p>
      <w:pPr>
        <w:spacing w:after="0" w:line="144" w:lineRule="exact"/>
        <w:rPr>
          <w:sz w:val="20"/>
          <w:szCs w:val="20"/>
          <w:color w:val="auto"/>
        </w:rPr>
      </w:pPr>
    </w:p>
    <w:p>
      <w:pPr>
        <w:ind w:right="460"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2025, our total indebtedness, net of unamortized fees and premium, equaled $767.1 million. Our amount of indebtedness could increase our vulnerability to adverse economic, industry or competitive developments, including:</w:t>
      </w:r>
    </w:p>
    <w:p>
      <w:pPr>
        <w:spacing w:after="0" w:line="211" w:lineRule="exact"/>
        <w:rPr>
          <w:sz w:val="20"/>
          <w:szCs w:val="20"/>
          <w:color w:val="auto"/>
        </w:rPr>
      </w:pPr>
    </w:p>
    <w:p>
      <w:pPr>
        <w:ind w:left="640" w:hanging="320"/>
        <w:spacing w:after="0"/>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requiring a portion of our cash flows from operations to be dedicated to the payment of our indebtedness, therefore reducing our ability to use our cash flows to fund operations, capital expenditures and future business opportunities,</w:t>
      </w:r>
    </w:p>
    <w:p>
      <w:pPr>
        <w:spacing w:after="0" w:line="8" w:lineRule="exact"/>
        <w:rPr>
          <w:rFonts w:ascii="Arial" w:cs="Arial" w:eastAsia="Arial" w:hAnsi="Arial"/>
          <w:sz w:val="21"/>
          <w:szCs w:val="21"/>
          <w:color w:val="auto"/>
        </w:rPr>
      </w:pPr>
    </w:p>
    <w:p>
      <w:pPr>
        <w:ind w:left="620" w:hanging="300"/>
        <w:spacing w:after="0"/>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for us to satisfy our obligations with respect to our indebtedness,</w:t>
      </w:r>
    </w:p>
    <w:p>
      <w:pPr>
        <w:spacing w:after="0" w:line="13" w:lineRule="exact"/>
        <w:rPr>
          <w:rFonts w:ascii="Arial" w:cs="Arial" w:eastAsia="Arial" w:hAnsi="Arial"/>
          <w:sz w:val="21"/>
          <w:szCs w:val="21"/>
          <w:color w:val="auto"/>
        </w:rPr>
      </w:pPr>
    </w:p>
    <w:p>
      <w:pPr>
        <w:ind w:left="620" w:hanging="300"/>
        <w:spacing w:after="0" w:line="233" w:lineRule="auto"/>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restricting us from making strategic acquisitions or causing us to make non-strategic divestitures,</w:t>
      </w:r>
    </w:p>
    <w:p>
      <w:pPr>
        <w:spacing w:after="0" w:line="22" w:lineRule="exact"/>
        <w:rPr>
          <w:rFonts w:ascii="Arial" w:cs="Arial" w:eastAsia="Arial" w:hAnsi="Arial"/>
          <w:sz w:val="21"/>
          <w:szCs w:val="21"/>
          <w:color w:val="auto"/>
        </w:rPr>
      </w:pPr>
    </w:p>
    <w:p>
      <w:pPr>
        <w:ind w:left="640" w:right="920" w:hanging="320"/>
        <w:spacing w:after="0"/>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ability to obtain additional financing for working capital, capital expenditures, product and service development, debt service requirements, acquisitions, and general corporate or other purposes, and</w:t>
      </w:r>
    </w:p>
    <w:p>
      <w:pPr>
        <w:spacing w:after="0" w:line="22" w:lineRule="exact"/>
        <w:rPr>
          <w:rFonts w:ascii="Arial" w:cs="Arial" w:eastAsia="Arial" w:hAnsi="Arial"/>
          <w:sz w:val="21"/>
          <w:szCs w:val="21"/>
          <w:color w:val="auto"/>
        </w:rPr>
      </w:pPr>
    </w:p>
    <w:p>
      <w:pPr>
        <w:ind w:left="640" w:right="320" w:hanging="320"/>
        <w:spacing w:after="0" w:line="255"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flexibility in planning for, or reacting to, changes in our business or market conditions and placing us at a competitive disadvantage compared to our competitors who are less leveraged and who, therefore, may be able to take advantage of opportunities that our indebtedness may prevent us from pursuing.</w:t>
      </w:r>
    </w:p>
    <w:p>
      <w:pPr>
        <w:spacing w:after="0" w:line="207" w:lineRule="exact"/>
        <w:rPr>
          <w:sz w:val="20"/>
          <w:szCs w:val="20"/>
          <w:color w:val="auto"/>
        </w:rPr>
      </w:pPr>
    </w:p>
    <w:p>
      <w:pPr>
        <w:ind w:firstLine="393"/>
        <w:spacing w:after="0" w:line="270" w:lineRule="auto"/>
        <w:rPr>
          <w:sz w:val="20"/>
          <w:szCs w:val="20"/>
          <w:color w:val="auto"/>
        </w:rPr>
      </w:pPr>
      <w:r>
        <w:rPr>
          <w:rFonts w:ascii="Times New Roman" w:cs="Times New Roman" w:eastAsia="Times New Roman" w:hAnsi="Times New Roman"/>
          <w:sz w:val="17"/>
          <w:szCs w:val="17"/>
          <w:color w:val="auto"/>
        </w:rPr>
        <w:t>Our ability to service our indebtedness will depend on our ability to generate cash in the future. We cannot provide assurance that our business will generate sufficient cash flow from operations or that future borrowings will be available in an amount sufficient to enable us to service our indebtedness or to fund other liquidity needs. Additionally, if we are not in compliance with the covenants and obligations under our debt instruments, we would be in default, and the lenders could call the debt, which would have a material adverse effect on our business. And in certain instances, our debt instruments may limit</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17"/>
          <w:szCs w:val="17"/>
          <w:color w:val="auto"/>
        </w:rPr>
        <w:t>our ability to redeem or prepay some or all of the outstanding principal amount prior to maturity, or in other instances, require the payment of premium in excess of the principal amount.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terms of our debt instruments impose restrictions on us that may affect our ability to successfully operate our business.</w:t>
      </w:r>
    </w:p>
    <w:p>
      <w:pPr>
        <w:spacing w:after="0" w:line="226" w:lineRule="exact"/>
        <w:rPr>
          <w:sz w:val="20"/>
          <w:szCs w:val="20"/>
          <w:color w:val="auto"/>
        </w:rPr>
      </w:pPr>
    </w:p>
    <w:p>
      <w:pPr>
        <w:ind w:right="240" w:firstLine="393"/>
        <w:spacing w:after="0" w:line="297" w:lineRule="auto"/>
        <w:rPr>
          <w:sz w:val="20"/>
          <w:szCs w:val="20"/>
          <w:color w:val="auto"/>
        </w:rPr>
      </w:pPr>
      <w:r>
        <w:rPr>
          <w:rFonts w:ascii="Times New Roman" w:cs="Times New Roman" w:eastAsia="Times New Roman" w:hAnsi="Times New Roman"/>
          <w:sz w:val="17"/>
          <w:szCs w:val="17"/>
          <w:color w:val="auto"/>
        </w:rPr>
        <w:t>Our debt instruments contain various covenants that could adversely affect our ability to finance our future operations or capital needs and to engage in other business activities that may be in our best interest. These covenants limit our ability to, among other things:</w:t>
      </w:r>
    </w:p>
    <w:p>
      <w:pPr>
        <w:spacing w:after="0" w:line="146" w:lineRule="exact"/>
        <w:rPr>
          <w:sz w:val="20"/>
          <w:szCs w:val="20"/>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additional indebtedness or issue certain preferred equity,</w:t>
      </w:r>
    </w:p>
    <w:p>
      <w:pPr>
        <w:spacing w:after="0" w:line="32" w:lineRule="exact"/>
        <w:rPr>
          <w:rFonts w:ascii="Times New Roman" w:cs="Times New Roman" w:eastAsia="Times New Roman" w:hAnsi="Times New Roman"/>
          <w:sz w:val="17"/>
          <w:szCs w:val="17"/>
          <w:color w:val="auto"/>
        </w:rPr>
      </w:pPr>
    </w:p>
    <w:p>
      <w:pPr>
        <w:ind w:left="640" w:right="200" w:hanging="320"/>
        <w:spacing w:after="0" w:line="257"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on, redeem, repurchase, or make distributions in respect of our capital stock, prepay, redeem, or repurchase certain debt or make other restricted payments,</w:t>
      </w: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permit to exist, certain liens,</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assets,</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sale/leaseback transactions,</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restricted subsidiaries’ ability to pay dividends or make other payments,</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merge, sell, or otherwise dispose of all or substantially all of our assets,</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transactions with affiliates, and</w:t>
      </w:r>
    </w:p>
    <w:p>
      <w:pPr>
        <w:spacing w:after="0" w:line="14"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restricted subsidiaries as unrestricted subsidiaries.</w:t>
      </w:r>
    </w:p>
    <w:p>
      <w:pPr>
        <w:spacing w:after="0" w:line="232" w:lineRule="exact"/>
        <w:rPr>
          <w:sz w:val="20"/>
          <w:szCs w:val="20"/>
          <w:color w:val="auto"/>
        </w:rPr>
      </w:pPr>
    </w:p>
    <w:p>
      <w:pPr>
        <w:ind w:right="140" w:firstLine="393"/>
        <w:spacing w:after="0" w:line="265" w:lineRule="auto"/>
        <w:rPr>
          <w:sz w:val="20"/>
          <w:szCs w:val="20"/>
          <w:color w:val="auto"/>
        </w:rPr>
      </w:pPr>
      <w:r>
        <w:rPr>
          <w:rFonts w:ascii="Times New Roman" w:cs="Times New Roman" w:eastAsia="Times New Roman" w:hAnsi="Times New Roman"/>
          <w:sz w:val="17"/>
          <w:szCs w:val="17"/>
          <w:color w:val="auto"/>
        </w:rPr>
        <w:t>Our ability to comply with these covenants may be affected by events beyond our control, such as prevailing economic conditions and changes in regulations, and if such events occur, we cannot be sure that we will be able to comply. A breach of these covenants could result in a default under our debt instruments and, in the case of our senior credit facility under our credit agreement, permit the lenders thereunder to cease making loans to us. If there were an event of default under any of our debt instruments, holders of such defaulted debt could cause all amounts borrowed under the applicable instrument to be due and payable immediately. Our assets or cash flow may not be sufficient to repay borrowings under our outstanding debt instruments in the event of a default thereunder.</w:t>
      </w:r>
    </w:p>
    <w:p>
      <w:pPr>
        <w:spacing w:after="0" w:line="174" w:lineRule="exact"/>
        <w:rPr>
          <w:sz w:val="20"/>
          <w:szCs w:val="20"/>
          <w:color w:val="auto"/>
        </w:rPr>
      </w:pPr>
    </w:p>
    <w:p>
      <w:pPr>
        <w:ind w:firstLine="393"/>
        <w:spacing w:after="0" w:line="263" w:lineRule="auto"/>
        <w:rPr>
          <w:sz w:val="20"/>
          <w:szCs w:val="20"/>
          <w:color w:val="auto"/>
        </w:rPr>
      </w:pPr>
      <w:r>
        <w:rPr>
          <w:rFonts w:ascii="Times New Roman" w:cs="Times New Roman" w:eastAsia="Times New Roman" w:hAnsi="Times New Roman"/>
          <w:sz w:val="17"/>
          <w:szCs w:val="17"/>
          <w:color w:val="auto"/>
        </w:rPr>
        <w:t>In addition, the restrictive covenants in our credit agreement require us to maintain specified financial ratios and satisfy other financial condition tests. Although we were in compliance with the financial ratios and financial condition tests set forth in our credit agreement on December 31, 2025, we cannot provide assurance that we will continue to be.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our credit agreement (and our other debt instruments to the extent the default triggers a cross default provision) and, in the case of the revolver under our credit agreement, permit the lenders thereunder to cease making loans to us. Upon the occurrence of an event of default under the credit agreement, the lenders could elect to declare all amounts outstanding thereunder to be immediately due and payable and terminate all commitments to extend further credit. Such action by the lenders could cause cross-defaults under our other debt instruments.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Variable rate indebtedness subjects us to interest rate risk, which could cause our debt service obligations to increase significantly.</w:t>
      </w:r>
    </w:p>
    <w:p>
      <w:pPr>
        <w:spacing w:after="0" w:line="252" w:lineRule="exact"/>
        <w:rPr>
          <w:sz w:val="20"/>
          <w:szCs w:val="20"/>
          <w:color w:val="auto"/>
        </w:rPr>
      </w:pPr>
    </w:p>
    <w:p>
      <w:pPr>
        <w:ind w:right="500" w:firstLine="393"/>
        <w:spacing w:after="0" w:line="297" w:lineRule="auto"/>
        <w:rPr>
          <w:sz w:val="20"/>
          <w:szCs w:val="20"/>
          <w:color w:val="auto"/>
        </w:rPr>
      </w:pPr>
      <w:r>
        <w:rPr>
          <w:rFonts w:ascii="Times New Roman" w:cs="Times New Roman" w:eastAsia="Times New Roman" w:hAnsi="Times New Roman"/>
          <w:sz w:val="17"/>
          <w:szCs w:val="17"/>
          <w:color w:val="auto"/>
        </w:rPr>
        <w:t>Borrowings under our credit agreement are at variable rates of interest and expose us to interest rate risk. As interest rates increase, our debt service obligations on certain of our variable rate indebtedness will increase even though the amount borrowed remains the same.</w:t>
      </w:r>
    </w:p>
    <w:p>
      <w:pPr>
        <w:spacing w:after="0" w:line="170"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7"/>
          <w:szCs w:val="17"/>
          <w:b w:val="1"/>
          <w:bCs w:val="1"/>
          <w:color w:val="auto"/>
        </w:rPr>
        <w:t>We have substantial insurance-related accruals and legal accruals on our balance sheet, and any significant adverse adjustments may decrease our earnings or increase our losses and negatively impact our cash flows.</w:t>
      </w:r>
    </w:p>
    <w:p>
      <w:pPr>
        <w:spacing w:after="0" w:line="105" w:lineRule="exact"/>
        <w:rPr>
          <w:sz w:val="20"/>
          <w:szCs w:val="20"/>
          <w:color w:val="auto"/>
        </w:rPr>
      </w:pPr>
    </w:p>
    <w:p>
      <w:pPr>
        <w:ind w:right="140" w:firstLine="433"/>
        <w:spacing w:after="0" w:line="267" w:lineRule="auto"/>
        <w:rPr>
          <w:sz w:val="20"/>
          <w:szCs w:val="20"/>
          <w:color w:val="auto"/>
        </w:rPr>
      </w:pPr>
      <w:r>
        <w:rPr>
          <w:rFonts w:ascii="Times New Roman" w:cs="Times New Roman" w:eastAsia="Times New Roman" w:hAnsi="Times New Roman"/>
          <w:sz w:val="17"/>
          <w:szCs w:val="17"/>
          <w:color w:val="auto"/>
        </w:rPr>
        <w:t>We maintain accruals related to legal matters, our captive insurance company and self-insured retentions for various lines of insurance coverage, including professional liability, employment practices, health insurance and workers’ compensation on our balance sheet. We determine the adequacy of our accruals by evaluating legal matters, our historical experience and trends, related to both insurance claims and payments, information provided to us by our insurance brokers, attorneys, third-party administrators and actuarial firms as well as industry experience and trends. If such information collectively indicates that our accruals are understated, we provide for additional accruals. A significant increase to these accruals would decrease our earnings.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4"/>
          <w:szCs w:val="24"/>
          <w:b w:val="1"/>
          <w:bCs w:val="1"/>
          <w:color w:val="auto"/>
        </w:rPr>
        <w:t>Item 1B.</w:t>
      </w:r>
      <w:r>
        <w:rPr>
          <w:sz w:val="20"/>
          <w:szCs w:val="20"/>
          <w:color w:val="auto"/>
        </w:rPr>
        <w:tab/>
      </w:r>
      <w:r>
        <w:rPr>
          <w:rFonts w:ascii="Times New Roman" w:cs="Times New Roman" w:eastAsia="Times New Roman" w:hAnsi="Times New Roman"/>
          <w:sz w:val="24"/>
          <w:szCs w:val="24"/>
          <w:b w:val="1"/>
          <w:bCs w:val="1"/>
          <w:i w:val="1"/>
          <w:iCs w:val="1"/>
          <w:color w:val="auto"/>
        </w:rPr>
        <w:t>Unresolved Staff Comments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0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4"/>
          <w:szCs w:val="24"/>
          <w:b w:val="1"/>
          <w:bCs w:val="1"/>
          <w:color w:val="auto"/>
        </w:rPr>
        <w:t>Item 1C.</w:t>
      </w:r>
      <w:r>
        <w:rPr>
          <w:sz w:val="20"/>
          <w:szCs w:val="20"/>
          <w:color w:val="auto"/>
        </w:rPr>
        <w:tab/>
      </w:r>
      <w:r>
        <w:rPr>
          <w:rFonts w:ascii="Times New Roman" w:cs="Times New Roman" w:eastAsia="Times New Roman" w:hAnsi="Times New Roman"/>
          <w:sz w:val="24"/>
          <w:szCs w:val="24"/>
          <w:b w:val="1"/>
          <w:bCs w:val="1"/>
          <w:i w:val="1"/>
          <w:iCs w:val="1"/>
          <w:color w:val="auto"/>
        </w:rPr>
        <w:t>Cybersecurity</w:t>
      </w:r>
    </w:p>
    <w:p>
      <w:pPr>
        <w:spacing w:after="0" w:line="194"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AMN Healthcare’s board of directors (the “Board”) is responsible for overseeing our enterprise-wide risk management program. The audit committee of the Board (the “Audit Committee”) has primary oversight responsibility for information and cybersecurity, including internal controls designed to mitigate risks related to these topics. This includes regular, and at least quarterly, review by the Audit Committee of reports on topics including, among others, significant cybersecurity risks, results from third-party assessments, training and vulnerability testing, and our incident response plan. Material breaches, if any, and any disclosure obligations arising from any such breach are also discussed separately with the Audit Committee as part of the Board’s risk oversight generally.</w:t>
      </w:r>
    </w:p>
    <w:p>
      <w:pPr>
        <w:spacing w:after="0" w:line="198"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AMN’s information and cybersecurity program reports up to our Chief Information &amp; Digital Officer (“CIO”) and is managed by our Vice President, Information &amp; Cyber Security, whose team is responsible for leading our enterprise-wide cybersecurity strategy. Through ongoing communications with the team, the CIO and the Vice President, Information &amp; Cyber Security, are informed about and monitor the prevention, detection, mitigation and remediation of cybersecurity incidents and progress on cybersecurity infrastructure initiatives. In the event of a material cybersecurity incident, the CIO, in coordination with AMN’s Chief Legal Officer, will escalate to the Audit Committee and the Board is made aware as appropriate and in accordance with AMN’s incident response plan. Our CIO and Vice President, Information &amp; Cyber Security have proven experience as technology leaders establishing and overseeing enterprise information security programs in the healthcare industry. Our CIO has over 25 years of experience serving as Chief Information Officer, Senior Vice President of IT, and Director of IT at various healthcare services and technology companies. AMN’s Vice President, Information &amp; Cyber Security has over 20 years of experience in various roles in information technology and information security. He holds a M.Sc. in Computer Information Systems and holds several relevant certifications, including Certified Information Security Manager and Zero Trust Certified Architect.</w:t>
      </w:r>
    </w:p>
    <w:p>
      <w:pPr>
        <w:spacing w:after="0" w:line="208" w:lineRule="exact"/>
        <w:rPr>
          <w:sz w:val="20"/>
          <w:szCs w:val="20"/>
          <w:color w:val="auto"/>
        </w:rPr>
      </w:pPr>
    </w:p>
    <w:p>
      <w:pPr>
        <w:ind w:right="220" w:firstLine="433"/>
        <w:spacing w:after="0" w:line="277" w:lineRule="auto"/>
        <w:rPr>
          <w:sz w:val="20"/>
          <w:szCs w:val="20"/>
          <w:color w:val="auto"/>
        </w:rPr>
      </w:pPr>
      <w:r>
        <w:rPr>
          <w:rFonts w:ascii="Times New Roman" w:cs="Times New Roman" w:eastAsia="Times New Roman" w:hAnsi="Times New Roman"/>
          <w:sz w:val="17"/>
          <w:szCs w:val="17"/>
          <w:color w:val="auto"/>
        </w:rPr>
        <w:t>AMN’s Privacy function, which reports up through our Chief Legal Officer, works collaboratively with the Information Security function to create and review policies, standards and processes. In addition to updating the Audit Committee, our Chief Legal Officer provides regular updates to the Corporate Governance and Compliance Committee, as well as other members of our senior management as appropriate.</w:t>
      </w:r>
    </w:p>
    <w:p>
      <w:pPr>
        <w:spacing w:after="0" w:line="189" w:lineRule="exact"/>
        <w:rPr>
          <w:sz w:val="20"/>
          <w:szCs w:val="20"/>
          <w:color w:val="auto"/>
        </w:rPr>
      </w:pPr>
    </w:p>
    <w:p>
      <w:pPr>
        <w:ind w:right="20" w:firstLine="433"/>
        <w:spacing w:after="0" w:line="265" w:lineRule="auto"/>
        <w:rPr>
          <w:sz w:val="20"/>
          <w:szCs w:val="20"/>
          <w:color w:val="auto"/>
        </w:rPr>
      </w:pPr>
      <w:r>
        <w:rPr>
          <w:rFonts w:ascii="Times New Roman" w:cs="Times New Roman" w:eastAsia="Times New Roman" w:hAnsi="Times New Roman"/>
          <w:sz w:val="17"/>
          <w:szCs w:val="17"/>
          <w:color w:val="auto"/>
        </w:rPr>
        <w:t>AMN’s information and cybersecurity program has adopted policies, standards, processes, and practices that follow recognized frameworks established by the National Institute of Standards and Technology (“NIST”), the International Organization for Standardization, and other relevant standards. AMN Healthcare has also implemented certain controls and procedures that allow its management to assess, identify, and manage material risks from cybersecurity threats. Our processes are integrated into the overall enterprise risk management program, which includes financial risk, compliance risk and other strategic and operational risks that affect the Company. These processes complement our enterprise-wide risk assessment architecture, as implemented by the Company’s management and as overseen by the Board through its Audit Committee.</w:t>
      </w:r>
    </w:p>
    <w:p>
      <w:pPr>
        <w:spacing w:after="0" w:line="200"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To identify and assess material risks from cybersecurity threats, we engage in regular network and endpoint monitoring, vulnerability assessments, penetration testing, and periodic tabletop exercises. We have developed an incident response plan to manage identified vulnerabilities and further improve our cybersecurity preparedness and response infrastructure. The incident response plan sets forth the actions to be taken in responding to and recovering from cybersecurity incidents, which include triage, assessing the severity of incidents, escalation protocols, containment of incidents, investigation of incidents, and remediation.</w:t>
      </w:r>
    </w:p>
    <w:p>
      <w:pPr>
        <w:spacing w:after="0" w:line="198"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In addition to our in-house capabilities, we engage with key security and technology vendors, industry participants and intelligence communities to assess our program and test our technical capabilities and enhance the effectiveness of our information and cybersecurity policies and procedures. We use a combination of tools and technologies to protect AMN Healthcare’s assets and information. We maintain and operate a proactive threat intelligence program to identify and assess risk. We have implemented processes to identify, monitor and address material risks from cybersecurity threats associated with our use of third-party vendors, including those in our supply chain or who have access to our systems, data or facilities that house such systems or data.</w:t>
      </w:r>
    </w:p>
    <w:p>
      <w:pPr>
        <w:spacing w:after="0" w:line="198" w:lineRule="exact"/>
        <w:rPr>
          <w:sz w:val="20"/>
          <w:szCs w:val="20"/>
          <w:color w:val="auto"/>
        </w:rPr>
      </w:pPr>
    </w:p>
    <w:p>
      <w:pPr>
        <w:ind w:right="540" w:firstLine="433"/>
        <w:spacing w:after="0" w:line="277" w:lineRule="auto"/>
        <w:rPr>
          <w:sz w:val="20"/>
          <w:szCs w:val="20"/>
          <w:color w:val="auto"/>
        </w:rPr>
      </w:pPr>
      <w:r>
        <w:rPr>
          <w:rFonts w:ascii="Times New Roman" w:cs="Times New Roman" w:eastAsia="Times New Roman" w:hAnsi="Times New Roman"/>
          <w:sz w:val="17"/>
          <w:szCs w:val="17"/>
          <w:color w:val="auto"/>
        </w:rPr>
        <w:t>Our team members receive annual training to understand the behaviors necessary to protect company and personal information and receive annual training on privacy laws and requirements. We also offer ongoing practice and education for team members to recognize and report suspicious activity, including phishing campaigns.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740" w:firstLine="433"/>
        <w:spacing w:after="0" w:line="297" w:lineRule="auto"/>
        <w:rPr>
          <w:sz w:val="20"/>
          <w:szCs w:val="20"/>
          <w:color w:val="auto"/>
        </w:rPr>
      </w:pPr>
      <w:r>
        <w:rPr>
          <w:rFonts w:ascii="Times New Roman" w:cs="Times New Roman" w:eastAsia="Times New Roman" w:hAnsi="Times New Roman"/>
          <w:sz w:val="17"/>
          <w:szCs w:val="17"/>
          <w:color w:val="auto"/>
        </w:rPr>
        <w:t>The Company has experienced cyber threats resulting in immaterial cyber incidents and expects cyber threats to continue with varying levels of sophistication.</w:t>
      </w:r>
    </w:p>
    <w:p>
      <w:pPr>
        <w:spacing w:after="0" w:line="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2.</w:t>
      </w:r>
      <w:r>
        <w:rPr>
          <w:sz w:val="20"/>
          <w:szCs w:val="20"/>
          <w:color w:val="auto"/>
        </w:rPr>
        <w:tab/>
      </w:r>
      <w:r>
        <w:rPr>
          <w:rFonts w:ascii="Times New Roman" w:cs="Times New Roman" w:eastAsia="Times New Roman" w:hAnsi="Times New Roman"/>
          <w:sz w:val="24"/>
          <w:szCs w:val="24"/>
          <w:b w:val="1"/>
          <w:bCs w:val="1"/>
          <w:i w:val="1"/>
          <w:iCs w:val="1"/>
          <w:color w:val="auto"/>
        </w:rPr>
        <w:t>Properties</w:t>
      </w:r>
    </w:p>
    <w:p>
      <w:pPr>
        <w:spacing w:after="0" w:line="194" w:lineRule="exact"/>
        <w:rPr>
          <w:sz w:val="20"/>
          <w:szCs w:val="20"/>
          <w:color w:val="auto"/>
        </w:rPr>
      </w:pPr>
    </w:p>
    <w:p>
      <w:pPr>
        <w:ind w:right="260" w:firstLine="393"/>
        <w:spacing w:after="0" w:line="267" w:lineRule="auto"/>
        <w:rPr>
          <w:sz w:val="20"/>
          <w:szCs w:val="20"/>
          <w:color w:val="auto"/>
        </w:rPr>
      </w:pPr>
      <w:r>
        <w:rPr>
          <w:rFonts w:ascii="Times New Roman" w:cs="Times New Roman" w:eastAsia="Times New Roman" w:hAnsi="Times New Roman"/>
          <w:sz w:val="17"/>
          <w:szCs w:val="17"/>
          <w:color w:val="auto"/>
        </w:rPr>
        <w:t>We lease all of our properties, which consist of office-type facilities. We believe that our leased space is adequate for our current needs and that we can obtain adequate space to meet our foreseeable business needs. We have pledged substantially all of our leasehold interests to our lenders under our credit agreement to secure our obligations thereunder. We set forth below our principal leased office spaces as of December 31, 2025 together with our business segments that utilize them:</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76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40" w:type="dxa"/>
            <w:vAlign w:val="bottom"/>
          </w:tcPr>
          <w:p>
            <w:pPr>
              <w:jc w:val="right"/>
              <w:ind w:right="278"/>
              <w:spacing w:after="0" w:line="158" w:lineRule="exact"/>
              <w:rPr>
                <w:sz w:val="20"/>
                <w:szCs w:val="20"/>
                <w:color w:val="auto"/>
              </w:rPr>
            </w:pPr>
            <w:r>
              <w:rPr>
                <w:rFonts w:ascii="Times New Roman" w:cs="Times New Roman" w:eastAsia="Times New Roman" w:hAnsi="Times New Roman"/>
                <w:sz w:val="14"/>
                <w:szCs w:val="14"/>
                <w:b w:val="1"/>
                <w:bCs w:val="1"/>
                <w:color w:val="auto"/>
              </w:rPr>
              <w:t>Square Feet</w:t>
            </w:r>
          </w:p>
        </w:tc>
      </w:tr>
      <w:tr>
        <w:trPr>
          <w:trHeight w:val="32"/>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Dallas, Texas (all segments)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92,420</w:t>
            </w:r>
          </w:p>
        </w:tc>
      </w:tr>
      <w:tr>
        <w:trPr>
          <w:trHeight w:val="228"/>
        </w:trPr>
        <w:tc>
          <w:tcPr>
            <w:tcW w:w="2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San Diego, California (all segments)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50,519</w:t>
            </w:r>
          </w:p>
        </w:tc>
      </w:tr>
    </w:tbl>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(6)</w:t>
      </w:r>
      <w:r>
        <w:rPr>
          <w:rFonts w:ascii="Times New Roman" w:cs="Times New Roman" w:eastAsia="Times New Roman" w:hAnsi="Times New Roman"/>
          <w:sz w:val="17"/>
          <w:szCs w:val="17"/>
          <w:color w:val="auto"/>
        </w:rPr>
        <w:t>, Leases.”</w:t>
      </w:r>
    </w:p>
    <w:p>
      <w:pPr>
        <w:spacing w:after="0" w:line="2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3.</w:t>
      </w:r>
      <w:r>
        <w:rPr>
          <w:sz w:val="20"/>
          <w:szCs w:val="20"/>
          <w:color w:val="auto"/>
        </w:rPr>
        <w:tab/>
      </w:r>
      <w:r>
        <w:rPr>
          <w:rFonts w:ascii="Times New Roman" w:cs="Times New Roman" w:eastAsia="Times New Roman" w:hAnsi="Times New Roman"/>
          <w:sz w:val="24"/>
          <w:szCs w:val="24"/>
          <w:b w:val="1"/>
          <w:bCs w:val="1"/>
          <w:i w:val="1"/>
          <w:iCs w:val="1"/>
          <w:color w:val="auto"/>
        </w:rPr>
        <w:t>Legal Proceedings</w:t>
      </w:r>
    </w:p>
    <w:p>
      <w:pPr>
        <w:spacing w:after="0" w:line="181" w:lineRule="exact"/>
        <w:rPr>
          <w:sz w:val="20"/>
          <w:szCs w:val="20"/>
          <w:color w:val="auto"/>
        </w:rPr>
      </w:pPr>
    </w:p>
    <w:p>
      <w:pPr>
        <w:ind w:right="760" w:firstLine="393"/>
        <w:spacing w:after="0" w:line="297" w:lineRule="auto"/>
        <w:rPr>
          <w:sz w:val="20"/>
          <w:szCs w:val="20"/>
          <w:color w:val="auto"/>
        </w:rPr>
      </w:pPr>
      <w:r>
        <w:rPr>
          <w:rFonts w:ascii="Times New Roman" w:cs="Times New Roman" w:eastAsia="Times New Roman" w:hAnsi="Times New Roman"/>
          <w:sz w:val="17"/>
          <w:szCs w:val="17"/>
          <w:color w:val="auto"/>
        </w:rPr>
        <w:t>Information with respect to this item may be found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(13)</w:t>
      </w:r>
      <w:r>
        <w:rPr>
          <w:rFonts w:ascii="Times New Roman" w:cs="Times New Roman" w:eastAsia="Times New Roman" w:hAnsi="Times New Roman"/>
          <w:sz w:val="17"/>
          <w:szCs w:val="17"/>
          <w:color w:val="auto"/>
        </w:rPr>
        <w:t>, Commitments and Contingencies,” which is incorporated herein by reference.</w:t>
      </w:r>
    </w:p>
    <w:p>
      <w:pPr>
        <w:spacing w:after="0" w:line="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4.</w:t>
      </w:r>
      <w:r>
        <w:rPr>
          <w:sz w:val="20"/>
          <w:szCs w:val="20"/>
          <w:color w:val="auto"/>
        </w:rPr>
        <w:tab/>
      </w:r>
      <w:r>
        <w:rPr>
          <w:rFonts w:ascii="Times New Roman" w:cs="Times New Roman" w:eastAsia="Times New Roman" w:hAnsi="Times New Roman"/>
          <w:sz w:val="24"/>
          <w:szCs w:val="24"/>
          <w:b w:val="1"/>
          <w:bCs w:val="1"/>
          <w:i w:val="1"/>
          <w:iCs w:val="1"/>
          <w:color w:val="auto"/>
        </w:rPr>
        <w:t>Mine Safety Disclosures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PART II</w:t>
      </w:r>
    </w:p>
    <w:p>
      <w:pPr>
        <w:spacing w:after="0" w:line="183" w:lineRule="exact"/>
        <w:rPr>
          <w:sz w:val="20"/>
          <w:szCs w:val="20"/>
          <w:color w:val="auto"/>
        </w:rPr>
      </w:pPr>
    </w:p>
    <w:p>
      <w:pPr>
        <w:ind w:left="980" w:right="620" w:hanging="1258"/>
        <w:spacing w:after="0" w:line="305" w:lineRule="auto"/>
        <w:tabs>
          <w:tab w:leader="none" w:pos="960" w:val="left"/>
        </w:tabs>
        <w:rPr>
          <w:sz w:val="20"/>
          <w:szCs w:val="20"/>
          <w:color w:val="auto"/>
        </w:rPr>
      </w:pPr>
      <w:r>
        <w:rPr>
          <w:rFonts w:ascii="Times New Roman" w:cs="Times New Roman" w:eastAsia="Times New Roman" w:hAnsi="Times New Roman"/>
          <w:sz w:val="24"/>
          <w:szCs w:val="24"/>
          <w:b w:val="1"/>
          <w:bCs w:val="1"/>
          <w:color w:val="auto"/>
        </w:rPr>
        <w:t>Item 5.</w:t>
      </w:r>
      <w:r>
        <w:rPr>
          <w:sz w:val="20"/>
          <w:szCs w:val="20"/>
          <w:color w:val="auto"/>
        </w:rPr>
        <w:tab/>
      </w:r>
      <w:r>
        <w:rPr>
          <w:rFonts w:ascii="Times New Roman" w:cs="Times New Roman" w:eastAsia="Times New Roman" w:hAnsi="Times New Roman"/>
          <w:sz w:val="24"/>
          <w:szCs w:val="24"/>
          <w:b w:val="1"/>
          <w:bCs w:val="1"/>
          <w:i w:val="1"/>
          <w:iCs w:val="1"/>
          <w:color w:val="auto"/>
        </w:rPr>
        <w:t>Market For Registrant’s Common Equity, Related Stockholder Matters and Issuer Purchases of Equity Securities</w:t>
      </w:r>
    </w:p>
    <w:p>
      <w:pPr>
        <w:spacing w:after="0" w:line="70"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Our common stock trades on the New York Stock Exchange under the symbol “AMN.” As of February 17, 2026, there were 14 stockholders of record of our common stock, one of which was Cede &amp; Co., a nominee for The Depository Trust Company. All of our common stock held by brokerage firms, banks and other financial institutions as nominees for beneficial owners are considered to be held of record by Cede &amp; Co., which is considered to be one stockholder of record. A substantially greater number of holders of our common stock are “street name” or beneficial holders, whose shares are held of record by banks, brokers and other financial institutions. Because such shares are held on behalf of stockholders, and not by the stockholders directly, and because a stockholder can have multiple positions with different brokerage firms, banks and other financial institutions, we are unable to determine the total number of stockholders we have without undue burden and expense.</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fiscal year ended December 31, 2025, we did not sell any equity securities that were not registered under the Securities Act.</w:t>
      </w:r>
    </w:p>
    <w:p>
      <w:pPr>
        <w:spacing w:after="0" w:line="250"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From time to time, we may repurchase our common stock in the open market pursuant to programs approved by our board of directors (the “Board”). We may repurchase our common stock for a variety of reasons, such as acquiring shares to offset dilution related to equity-based incentives and optimizing our capital structure. On November 1, 2016, the Board authorized us to repurchase up to $150.0 million of our outstanding common stock in the open market. On November 10, 2021, February 17, 2022, June 15, 2022, and February 16, 2023, we announced increases to the repurchase program totaling $1,200.0 million. These increases brought the total authorization of the repurchase program to $1,350.0 million, of which $226.7 million remained as of December 31, 2025. Under the repurchase program announced on November 1, 2016 and the aforementioned increases (collectively, the “Company Repurchase Program”), share repurchases may be made from time to time, depending on prevailing market conditions and other considerations. The Company Repurchase Program has no expiration date and may be discontinued or suspended at any time. Additionally, we or our affiliates may, at any time and from time to time, seek to retire or purchase our outstanding debt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w:t>
      </w:r>
    </w:p>
    <w:p>
      <w:pPr>
        <w:spacing w:after="0" w:line="206"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During 2025, we did not repurchase any shares of our common stock. As of December 31, 2025, we have repurchased 12.6 million shares of our common stock at an average price of $89.04 per share excluding broker’s fees under the Company Repurchase Program, resulting in an aggregate purchase price of $1,123.3 million, excluding the effect of excise taxes, since 2016. See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(11)</w:t>
      </w:r>
      <w:r>
        <w:rPr>
          <w:rFonts w:ascii="Times New Roman" w:cs="Times New Roman" w:eastAsia="Times New Roman" w:hAnsi="Times New Roman"/>
          <w:sz w:val="17"/>
          <w:szCs w:val="17"/>
          <w:color w:val="auto"/>
        </w:rPr>
        <w:t>(b), Capital Stock—Treasury Stock.” All share repurchases to date were made under the Company Repurchase Program, which is the only repurchase program of the Company currently in effect.</w:t>
      </w:r>
    </w:p>
    <w:p>
      <w:pPr>
        <w:spacing w:after="0" w:line="198" w:lineRule="exact"/>
        <w:rPr>
          <w:sz w:val="20"/>
          <w:szCs w:val="20"/>
          <w:color w:val="auto"/>
        </w:rPr>
      </w:pPr>
    </w:p>
    <w:p>
      <w:pPr>
        <w:ind w:right="140" w:firstLine="433"/>
        <w:spacing w:after="0" w:line="264" w:lineRule="auto"/>
        <w:rPr>
          <w:sz w:val="20"/>
          <w:szCs w:val="20"/>
          <w:color w:val="auto"/>
        </w:rPr>
      </w:pPr>
      <w:r>
        <w:rPr>
          <w:rFonts w:ascii="Times New Roman" w:cs="Times New Roman" w:eastAsia="Times New Roman" w:hAnsi="Times New Roman"/>
          <w:sz w:val="17"/>
          <w:szCs w:val="17"/>
          <w:color w:val="auto"/>
        </w:rPr>
        <w:t>We have not paid any dividends on our common stock in the past and currently do not expect to pay cash dividends or make any other distributions on common stock in the future. We expect to retain our future earnings, if any, for use in the operation and expansion of our business, to pay down debt and potentially for share repurchases. Any future determination to pay dividends on common stock will be at the discretion of the Board and will depend upon our financial condition, results of operations, capital requirements and such other factors as the Board deems relevant. In addition, our ability to declare and pay dividends on our common stock is subject to covenants restricting such actions in the instruments governing our debt. See “Item 7. Management’s Discussion and Analysis of Financial Condition and Results of Operations—Liquidity and Capital Resources” and “Item 8. Financial Statements and Supplementary Data —Notes to Consolidated Financial Statements—</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Notes Payable and Credit Agreement.”</w:t>
      </w:r>
    </w:p>
    <w:p>
      <w:pPr>
        <w:spacing w:after="0" w:line="134" w:lineRule="exact"/>
        <w:rPr>
          <w:sz w:val="20"/>
          <w:szCs w:val="20"/>
          <w:color w:val="auto"/>
        </w:rPr>
      </w:pPr>
    </w:p>
    <w:p>
      <w:pPr>
        <w:ind w:right="260" w:firstLine="393"/>
        <w:spacing w:after="0" w:line="297" w:lineRule="auto"/>
        <w:rPr>
          <w:sz w:val="20"/>
          <w:szCs w:val="20"/>
          <w:color w:val="auto"/>
        </w:rPr>
      </w:pPr>
      <w:r>
        <w:rPr>
          <w:rFonts w:ascii="Times New Roman" w:cs="Times New Roman" w:eastAsia="Times New Roman" w:hAnsi="Times New Roman"/>
          <w:sz w:val="17"/>
          <w:szCs w:val="17"/>
          <w:color w:val="auto"/>
        </w:rPr>
        <w:t>The information required by Item 201(d) of Regulation S-K is incorporated by reference to the table set forth in Item 12 of this Annual Report on Form 10-K.</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72" w:lineRule="exact"/>
        <w:rPr>
          <w:sz w:val="20"/>
          <w:szCs w:val="20"/>
          <w:color w:val="auto"/>
        </w:rPr>
      </w:pPr>
    </w:p>
    <w:p>
      <w:pPr>
        <w:ind w:right="180"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This performance graph shall not be deemed “filed” with the SEC or subject to Section 18 of the Exchange Act, nor shall it be deemed incorporated by reference in any of our filings under the Exchange Act or the Securities Act.</w:t>
      </w:r>
    </w:p>
    <w:p>
      <w:pPr>
        <w:spacing w:after="0" w:line="79" w:lineRule="exact"/>
        <w:rPr>
          <w:sz w:val="20"/>
          <w:szCs w:val="20"/>
          <w:color w:val="auto"/>
        </w:rPr>
      </w:pPr>
    </w:p>
    <w:p>
      <w:pPr>
        <w:ind w:right="100" w:firstLine="428"/>
        <w:spacing w:after="0" w:line="277" w:lineRule="auto"/>
        <w:rPr>
          <w:sz w:val="20"/>
          <w:szCs w:val="20"/>
          <w:color w:val="auto"/>
        </w:rPr>
      </w:pPr>
      <w:r>
        <w:rPr>
          <w:rFonts w:ascii="Times New Roman" w:cs="Times New Roman" w:eastAsia="Times New Roman" w:hAnsi="Times New Roman"/>
          <w:sz w:val="17"/>
          <w:szCs w:val="17"/>
          <w:color w:val="auto"/>
        </w:rPr>
        <w:t>The graph below compares the total return on our common stock with the total return of (i) the Russell 2000 Index, and (ii) the S&amp;P Healthcare Services Select Industry Index (“SPSIHP”), assuming an investment of $100 on December 31, 2020 in our common stock and the stocks comprising the Russell 2000 Index and the SPSIHP,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73025</wp:posOffset>
            </wp:positionV>
            <wp:extent cx="5695950" cy="4729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5950" cy="472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00" w:type="dxa"/>
            <w:vAlign w:val="bottom"/>
          </w:tcPr>
          <w:p>
            <w:pPr>
              <w:spacing w:after="0"/>
              <w:rPr>
                <w:sz w:val="16"/>
                <w:szCs w:val="16"/>
                <w:color w:val="auto"/>
              </w:rPr>
            </w:pPr>
          </w:p>
        </w:tc>
        <w:tc>
          <w:tcPr>
            <w:tcW w:w="11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00" w:type="dxa"/>
            <w:vAlign w:val="bottom"/>
          </w:tcPr>
          <w:p>
            <w:pPr>
              <w:spacing w:after="0"/>
              <w:rPr>
                <w:sz w:val="16"/>
                <w:szCs w:val="16"/>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20" w:type="dxa"/>
            <w:vAlign w:val="bottom"/>
          </w:tcPr>
          <w:p>
            <w:pPr>
              <w:spacing w:after="0"/>
              <w:rPr>
                <w:sz w:val="16"/>
                <w:szCs w:val="16"/>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00" w:type="dxa"/>
            <w:vAlign w:val="bottom"/>
          </w:tcPr>
          <w:p>
            <w:pPr>
              <w:spacing w:after="0"/>
              <w:rPr>
                <w:sz w:val="16"/>
                <w:szCs w:val="16"/>
                <w:color w:val="auto"/>
              </w:rPr>
            </w:pPr>
          </w:p>
        </w:tc>
        <w:tc>
          <w:tcPr>
            <w:tcW w:w="11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00" w:type="dxa"/>
            <w:vAlign w:val="bottom"/>
          </w:tcPr>
          <w:p>
            <w:pPr>
              <w:spacing w:after="0"/>
              <w:rPr>
                <w:sz w:val="16"/>
                <w:szCs w:val="16"/>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4"/>
        </w:trPr>
        <w:tc>
          <w:tcPr>
            <w:tcW w:w="38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179.24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150.65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109.71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23.09</w:t>
            </w: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Russell 2000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114.82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91.35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106.82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119.14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134.40</w:t>
            </w: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SPSIHP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88.35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113.00</w:t>
            </w:r>
          </w:p>
        </w:tc>
      </w:tr>
    </w:tbl>
    <w:p>
      <w:pPr>
        <w:spacing w:after="0" w:line="2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6.</w:t>
      </w:r>
      <w:r>
        <w:rPr>
          <w:sz w:val="20"/>
          <w:szCs w:val="20"/>
          <w:color w:val="auto"/>
        </w:rPr>
        <w:tab/>
      </w:r>
      <w:r>
        <w:rPr>
          <w:rFonts w:ascii="Times New Roman" w:cs="Times New Roman" w:eastAsia="Times New Roman" w:hAnsi="Times New Roman"/>
          <w:sz w:val="24"/>
          <w:szCs w:val="24"/>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4"/>
          <w:szCs w:val="24"/>
          <w:b w:val="1"/>
          <w:bCs w:val="1"/>
          <w:color w:val="auto"/>
        </w:rPr>
        <w:t>Item 7.</w:t>
      </w:r>
      <w:r>
        <w:rPr>
          <w:sz w:val="20"/>
          <w:szCs w:val="20"/>
          <w:color w:val="auto"/>
        </w:rPr>
        <w:tab/>
      </w:r>
      <w:r>
        <w:rPr>
          <w:rFonts w:ascii="Times New Roman" w:cs="Times New Roman" w:eastAsia="Times New Roman" w:hAnsi="Times New Roman"/>
          <w:sz w:val="24"/>
          <w:szCs w:val="24"/>
          <w:b w:val="1"/>
          <w:bCs w:val="1"/>
          <w:i w:val="1"/>
          <w:iCs w:val="1"/>
          <w:color w:val="auto"/>
        </w:rPr>
        <w:t>Management’s Discussion and Analysis of Financial Condition and Results of Operation</w:t>
      </w:r>
      <w:r>
        <w:rPr>
          <w:rFonts w:ascii="Times New Roman" w:cs="Times New Roman" w:eastAsia="Times New Roman" w:hAnsi="Times New Roman"/>
          <w:sz w:val="24"/>
          <w:szCs w:val="24"/>
          <w:b w:val="1"/>
          <w:bCs w:val="1"/>
          <w:color w:val="auto"/>
        </w:rPr>
        <w:t>s</w:t>
      </w:r>
    </w:p>
    <w:p>
      <w:pPr>
        <w:spacing w:after="0" w:line="194"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You should read the following discussion in conjunction with our consolidated financial statements and the notes thereto and other financial information included elsewhere in this Annual Report on Form 10-K. Certain statements in this “Management’s Discussion and Analysis (“MD&amp;A”) of Financial Condition and Results of Operations” are “forward-looking statements.” See “Special Note Regarding Forward-Looking Statements” under Item 1, “Business.” We intend this MD&amp;A section to provide you with a narrative from the perspective of our management on our financial condition, results of operations, liquidity and certain other factors that may affect our future results. The following sections comprise this MD&amp;A:</w:t>
      </w:r>
    </w:p>
    <w:p>
      <w:pPr>
        <w:spacing w:after="0" w:line="4" w:lineRule="exact"/>
        <w:rPr>
          <w:sz w:val="20"/>
          <w:szCs w:val="20"/>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 of Our Business</w:t>
      </w:r>
    </w:p>
    <w:p>
      <w:pPr>
        <w:spacing w:after="0" w:line="75" w:lineRule="exact"/>
        <w:rPr>
          <w:rFonts w:ascii="Times New Roman" w:cs="Times New Roman" w:eastAsia="Times New Roman" w:hAnsi="Times New Roman"/>
          <w:sz w:val="17"/>
          <w:szCs w:val="17"/>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Metrics</w:t>
      </w:r>
    </w:p>
    <w:p>
      <w:pPr>
        <w:spacing w:after="0" w:line="79" w:lineRule="exact"/>
        <w:rPr>
          <w:rFonts w:ascii="Times New Roman" w:cs="Times New Roman" w:eastAsia="Times New Roman" w:hAnsi="Times New Roman"/>
          <w:sz w:val="17"/>
          <w:szCs w:val="17"/>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Trends</w:t>
      </w:r>
    </w:p>
    <w:p>
      <w:pPr>
        <w:spacing w:after="0" w:line="79" w:lineRule="exact"/>
        <w:rPr>
          <w:rFonts w:ascii="Times New Roman" w:cs="Times New Roman" w:eastAsia="Times New Roman" w:hAnsi="Times New Roman"/>
          <w:sz w:val="17"/>
          <w:szCs w:val="17"/>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93" w:lineRule="exact"/>
        <w:rPr>
          <w:rFonts w:ascii="Times New Roman" w:cs="Times New Roman" w:eastAsia="Times New Roman" w:hAnsi="Times New Roman"/>
          <w:sz w:val="17"/>
          <w:szCs w:val="17"/>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and Capital Resources</w:t>
      </w:r>
    </w:p>
    <w:p>
      <w:pPr>
        <w:spacing w:after="0" w:line="79" w:lineRule="exact"/>
        <w:rPr>
          <w:rFonts w:ascii="Times New Roman" w:cs="Times New Roman" w:eastAsia="Times New Roman" w:hAnsi="Times New Roman"/>
          <w:sz w:val="17"/>
          <w:szCs w:val="17"/>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79" w:lineRule="exact"/>
        <w:rPr>
          <w:rFonts w:ascii="Times New Roman" w:cs="Times New Roman" w:eastAsia="Times New Roman" w:hAnsi="Times New Roman"/>
          <w:sz w:val="17"/>
          <w:szCs w:val="17"/>
          <w:color w:val="auto"/>
        </w:rPr>
      </w:pPr>
    </w:p>
    <w:p>
      <w:pPr>
        <w:ind w:left="620" w:hanging="18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Accounting Pronouncements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 of Our Business</w:t>
      </w:r>
    </w:p>
    <w:p>
      <w:pPr>
        <w:spacing w:after="0" w:line="178"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We provide technology-enabled healthcare workforce solutions and staffing services to healthcare organizations across the nation. The Company provides access to a comprehensive network of healthcare professionals through its recruitment strategies and breadth of career opportunities. We help providers optimize their workforce to reduce complexity and increase efficiency. Our total talent solutions include vendor neutral and managed services programs (“MSP”), clinical and interim healthcare leaders, temporary staffing, permanent placement, executive search, vendor management systems (“VMS”), recruitment process outsourcing, language services, revenue cycle solutions, labor disruption and other services. Clients include acute-care hospitals, community health centers and clinics, physician practice groups, retail and urgent care centers, home health facilities, schools and many other healthcare settings.</w:t>
      </w:r>
    </w:p>
    <w:p>
      <w:pPr>
        <w:spacing w:after="0" w:line="310" w:lineRule="exact"/>
        <w:rPr>
          <w:sz w:val="20"/>
          <w:szCs w:val="20"/>
          <w:color w:val="auto"/>
        </w:rPr>
      </w:pPr>
    </w:p>
    <w:p>
      <w:pPr>
        <w:ind w:right="260" w:firstLine="433"/>
        <w:spacing w:after="0" w:line="270" w:lineRule="auto"/>
        <w:rPr>
          <w:sz w:val="20"/>
          <w:szCs w:val="20"/>
          <w:color w:val="auto"/>
        </w:rPr>
      </w:pPr>
      <w:r>
        <w:rPr>
          <w:rFonts w:ascii="Times New Roman" w:cs="Times New Roman" w:eastAsia="Times New Roman" w:hAnsi="Times New Roman"/>
          <w:sz w:val="17"/>
          <w:szCs w:val="17"/>
          <w:color w:val="auto"/>
        </w:rPr>
        <w:t>Through our nurse and allied solutions segment, we provide hospitals, other healthcare facilities, and schools with a comprehensive set of staffing solutions, including direct, vendor neutral, and managed services solutions in which we manage and staff all the temporary and permanent nursing and allied staffing needs, as well as the revenue cycle management needs, of a client. A majority of our placements in this segment are under our managed services solution.</w:t>
      </w:r>
    </w:p>
    <w:p>
      <w:pPr>
        <w:spacing w:after="0" w:line="104"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Through our physician and leadership solutions segment, we place physicians of all specialties, as well as dentists and advanced practice providers, with clients on a temporary basis, generally as independent contractors. We also recruit physicians and healthcare leaders and executives for permanent placement and place interim leaders and executives across all healthcare settings. The interim healthcare leaders and executives we place are typically placed on contracts with assignment lengths ranging from a few days to one year.</w:t>
      </w:r>
    </w:p>
    <w:p>
      <w:pPr>
        <w:spacing w:after="0" w:line="104" w:lineRule="exact"/>
        <w:rPr>
          <w:sz w:val="20"/>
          <w:szCs w:val="20"/>
          <w:color w:val="auto"/>
        </w:rPr>
      </w:pPr>
    </w:p>
    <w:p>
      <w:pPr>
        <w:ind w:right="280" w:firstLine="433"/>
        <w:spacing w:after="0" w:line="270" w:lineRule="auto"/>
        <w:rPr>
          <w:sz w:val="20"/>
          <w:szCs w:val="20"/>
          <w:color w:val="auto"/>
        </w:rPr>
      </w:pPr>
      <w:r>
        <w:rPr>
          <w:rFonts w:ascii="Times New Roman" w:cs="Times New Roman" w:eastAsia="Times New Roman" w:hAnsi="Times New Roman"/>
          <w:sz w:val="17"/>
          <w:szCs w:val="17"/>
          <w:color w:val="auto"/>
        </w:rPr>
        <w:t>Through our technology and workforce solutions segment, we provide hospitals and other healthcare facilities with a range of workforce solutions, including: (1) language services, (2) software-as-a-service (“SaaS”)-based VMS technologies through which our clients can self-manage the procurement of contingent clinical labor and their internal float pool, (3) workforce optimization services that include advisory, planning, and analytics, and (4) recruitment process outsourcing services in which we recruit, hire and/or onboard permanent clinical and nonclinical positions on behalf of our clients.</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the year ended December 31, 2025, we recorded revenue of $2,730.4 million, as compared to $2,983.8 million for 2024. We recorded net loss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$(95.7) million for 2025, as compared to $(147.0) million for 2024. Nurse and allied solutions segment revenue comprised 60% and 61% of total consolidated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for the years ended December 31, 2025 and 2024, respectively. Physician and leadership solutions segment revenue comprised 26% and 24% of total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revenue for the years ended December 31, 2025 and 2024, respectively. Technology and workforce solutions segment revenue comprised 14%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of total consolidated revenue for the years ended December 31, 2025 and 2024, respectively. For a description of the services we provide under each of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segments, please see, “Item 1. Business—Our Services.”</w:t>
      </w:r>
    </w:p>
    <w:p>
      <w:pPr>
        <w:spacing w:after="0" w:line="141"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We believe we are recognized as a market-leading innovator in providing healthcare talent solutions in the United States. We seek to advance our position through a number of strategies that focus on market penetration, expansion of our talent solutions, increasing operational efficiency and scalability and increasing our supply of qualified healthcare professionals. Our market growth strategy continues to focus on broadening and investing, both organically and through strategic acquisitions, 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service and technology offerings beyond our traditional temporary staffing and permanent placement services, to include more strategic and recurring revenue sources from innovative talent solutions offerings such as MSP, VMS, workforce optimization service, and other technology-enabled services. We also seek strategic opportunities to expand into complementary service offerings to our staffing businesses that leverage our core capabilities of recruiting and credentialing healthcare professionals.</w:t>
      </w:r>
    </w:p>
    <w:p>
      <w:pPr>
        <w:spacing w:after="0" w:line="104" w:lineRule="exact"/>
        <w:rPr>
          <w:sz w:val="20"/>
          <w:szCs w:val="20"/>
          <w:color w:val="auto"/>
        </w:rPr>
      </w:pPr>
    </w:p>
    <w:p>
      <w:pPr>
        <w:ind w:right="500" w:firstLine="433"/>
        <w:spacing w:after="0" w:line="270" w:lineRule="auto"/>
        <w:rPr>
          <w:sz w:val="20"/>
          <w:szCs w:val="20"/>
          <w:color w:val="auto"/>
        </w:rPr>
      </w:pPr>
      <w:r>
        <w:rPr>
          <w:rFonts w:ascii="Times New Roman" w:cs="Times New Roman" w:eastAsia="Times New Roman" w:hAnsi="Times New Roman"/>
          <w:sz w:val="17"/>
          <w:szCs w:val="17"/>
          <w:color w:val="auto"/>
        </w:rPr>
        <w:t>Operationally, our strategic initiatives focus on investing in digitizing and further developing our processes and systems to achieve market leading efficiency and scalability, which we believe will provide operating leverage as our revenue grows. From a healthcare professional supply perspective, we continue to invest in new candidate recruitment and engagement initiatives and technologies to retain and grow our network of qualified healthcare professionals.</w:t>
      </w:r>
    </w:p>
    <w:p>
      <w:pPr>
        <w:spacing w:after="0" w:line="9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Over the last several years, we have worked to execute on our management strategies and intend to continue to do so in the future. As part of our long-term growth strategy to add value for our clients, healthcare professionals, and stockholders, we acquired MSI Systems Corp. and DrWanted.com LLC (together “MSDR”) on November 30, 2023.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Acquisitions.”</w:t>
      </w:r>
    </w:p>
    <w:p>
      <w:pPr>
        <w:spacing w:after="0" w:line="104"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On July 1, 2025, we completed the sale of our Smart Square healthcare scheduling software.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Sale of Disposal Group.”</w:t>
      </w:r>
    </w:p>
    <w:p>
      <w:pPr>
        <w:spacing w:after="0" w:line="80" w:lineRule="exact"/>
        <w:rPr>
          <w:sz w:val="20"/>
          <w:szCs w:val="20"/>
          <w:color w:val="auto"/>
        </w:rPr>
      </w:pPr>
    </w:p>
    <w:p>
      <w:pPr>
        <w:jc w:val="both"/>
        <w:ind w:right="200" w:firstLine="433"/>
        <w:spacing w:after="0" w:line="297" w:lineRule="auto"/>
        <w:rPr>
          <w:sz w:val="20"/>
          <w:szCs w:val="20"/>
          <w:color w:val="auto"/>
        </w:rPr>
      </w:pPr>
      <w:r>
        <w:rPr>
          <w:rFonts w:ascii="Times New Roman" w:cs="Times New Roman" w:eastAsia="Times New Roman" w:hAnsi="Times New Roman"/>
          <w:sz w:val="17"/>
          <w:szCs w:val="17"/>
          <w:color w:val="auto"/>
        </w:rPr>
        <w:t>We typically experience modest seasonal fluctuations during our fiscal year and they tend to vary among our business segments. These fluctuations can vary slightly in intensity from year to year. Over the past five years, these quarterly fluctuations have been muted in our consolidated results.</w:t>
      </w:r>
    </w:p>
    <w:p>
      <w:pPr>
        <w:spacing w:after="0" w:line="67" w:lineRule="exact"/>
        <w:rPr>
          <w:sz w:val="20"/>
          <w:szCs w:val="20"/>
          <w:color w:val="auto"/>
        </w:rPr>
      </w:pPr>
    </w:p>
    <w:p>
      <w:pPr>
        <w:jc w:val="both"/>
        <w:ind w:right="180" w:firstLine="433"/>
        <w:spacing w:after="0" w:line="277" w:lineRule="auto"/>
        <w:rPr>
          <w:sz w:val="20"/>
          <w:szCs w:val="20"/>
          <w:color w:val="auto"/>
        </w:rPr>
      </w:pPr>
      <w:r>
        <w:rPr>
          <w:rFonts w:ascii="Times New Roman" w:cs="Times New Roman" w:eastAsia="Times New Roman" w:hAnsi="Times New Roman"/>
          <w:sz w:val="17"/>
          <w:szCs w:val="17"/>
          <w:color w:val="auto"/>
        </w:rPr>
        <w:t>In states where healthcare professionals have union representation, clients value the Company’s ability to support them through labor disruption events. Strategic clients expect the Company to support them as part of the building long-term, mutually beneficial partnerships. Even if somewhat recurrent over the long term, labor disruption events are unpredictable and have driven spikes in demand and related financial outcomes when they happen.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Operating Metrics</w:t>
      </w:r>
    </w:p>
    <w:p>
      <w:pPr>
        <w:spacing w:after="0" w:line="152" w:lineRule="exact"/>
        <w:rPr>
          <w:sz w:val="20"/>
          <w:szCs w:val="20"/>
          <w:color w:val="auto"/>
        </w:rPr>
      </w:pPr>
    </w:p>
    <w:p>
      <w:pPr>
        <w:ind w:right="240" w:firstLine="393"/>
        <w:spacing w:after="0" w:line="264" w:lineRule="auto"/>
        <w:rPr>
          <w:sz w:val="20"/>
          <w:szCs w:val="20"/>
          <w:color w:val="auto"/>
        </w:rPr>
      </w:pPr>
      <w:r>
        <w:rPr>
          <w:rFonts w:ascii="Times New Roman" w:cs="Times New Roman" w:eastAsia="Times New Roman" w:hAnsi="Times New Roman"/>
          <w:sz w:val="17"/>
          <w:szCs w:val="17"/>
          <w:color w:val="auto"/>
        </w:rPr>
        <w:t>In addition to our consolidated and segment financial results, we monitor the following key metrics to help us evaluate our results of operations and financial condition and make strategic decisions. We believe this information is useful in understanding our operational performance and trends affecting our businesses.</w:t>
      </w:r>
    </w:p>
    <w:p>
      <w:pPr>
        <w:spacing w:after="0" w:line="2" w:lineRule="exact"/>
        <w:rPr>
          <w:sz w:val="20"/>
          <w:szCs w:val="20"/>
          <w:color w:val="auto"/>
        </w:rPr>
      </w:pPr>
    </w:p>
    <w:p>
      <w:pPr>
        <w:ind w:left="520" w:right="220" w:hanging="318"/>
        <w:spacing w:after="0" w:line="257" w:lineRule="auto"/>
        <w:tabs>
          <w:tab w:leader="none" w:pos="5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travelers on assignment represents the average number of nurse and allied healthcare professionals on assignment during the period, which is used by management as a measure of volume in our nurse and allied solutions segment;</w:t>
      </w:r>
    </w:p>
    <w:p>
      <w:pPr>
        <w:ind w:left="520" w:right="400" w:hanging="318"/>
        <w:spacing w:after="0" w:line="257" w:lineRule="auto"/>
        <w:tabs>
          <w:tab w:leader="none" w:pos="5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 rates represent the hourly straight-time rates that we bill to clients, which are an indicator of labor market trends and costs within our nurse and allied solutions segment;</w:t>
      </w:r>
    </w:p>
    <w:p>
      <w:pPr>
        <w:ind w:left="520" w:right="220" w:hanging="318"/>
        <w:spacing w:after="0" w:line="257" w:lineRule="auto"/>
        <w:tabs>
          <w:tab w:leader="none" w:pos="5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Billable hours represent the number of hours worked by our healthcare professionals that we are able to bill on client engagements, which are used by management as a measure of volume in our nurse and allied solutions segment;</w:t>
      </w:r>
    </w:p>
    <w:p>
      <w:pPr>
        <w:ind w:left="520" w:right="400" w:hanging="318"/>
        <w:spacing w:after="0" w:line="257" w:lineRule="auto"/>
        <w:tabs>
          <w:tab w:leader="none" w:pos="5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filled is calculated by dividing total locum tenens hours filled during the period by eight hours, which is used by management as a measure of volume in our locum tenens business within our physician and leadership solutions segment;</w:t>
      </w:r>
    </w:p>
    <w:p>
      <w:pPr>
        <w:ind w:left="520" w:right="40" w:hanging="318"/>
        <w:spacing w:after="0" w:line="257" w:lineRule="auto"/>
        <w:tabs>
          <w:tab w:leader="none" w:pos="5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per day filled is calculated by dividing revenue of our locum tenens business by days filled for the period, which is an indicator of labor market trends and costs in our locum tenens business within our physician and leadership solutions segment; and</w:t>
      </w:r>
    </w:p>
    <w:p>
      <w:pPr>
        <w:ind w:left="520" w:right="60" w:hanging="318"/>
        <w:spacing w:after="0" w:line="275" w:lineRule="auto"/>
        <w:tabs>
          <w:tab w:leader="none" w:pos="5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Minutes represent the time-based utilization of interpretation services that we are able to bill our clients, which are used by management as a measure of volume in our language services business within our technology and workforce solutions segment.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Trends</w:t>
      </w:r>
    </w:p>
    <w:p>
      <w:pPr>
        <w:spacing w:after="0" w:line="165" w:lineRule="exact"/>
        <w:rPr>
          <w:sz w:val="20"/>
          <w:szCs w:val="20"/>
          <w:color w:val="auto"/>
        </w:rPr>
      </w:pPr>
    </w:p>
    <w:p>
      <w:pPr>
        <w:ind w:right="40" w:firstLine="393"/>
        <w:spacing w:after="0" w:line="264" w:lineRule="auto"/>
        <w:rPr>
          <w:sz w:val="20"/>
          <w:szCs w:val="20"/>
          <w:color w:val="auto"/>
        </w:rPr>
      </w:pPr>
      <w:r>
        <w:rPr>
          <w:rFonts w:ascii="Times New Roman" w:cs="Times New Roman" w:eastAsia="Times New Roman" w:hAnsi="Times New Roman"/>
          <w:sz w:val="17"/>
          <w:szCs w:val="17"/>
          <w:color w:val="auto"/>
        </w:rPr>
        <w:t>Demand across most of our businesses in the first quarter of 2025 was healthy with travel nurse showing a strong year-over-year increase. During the second quarter, uncertainty about government policy impacts appeared to place the healthcare sector in a more conservative stance with demand declining compared to the first quarter. In the third quarter, demand increased over the second quarter with our nurse business benefitting from strong winter orders but remained below prior year. In the fourth quarter, demand continued to increase throughout most of the quarter and ended above prior year. Full year demand for travel nurse was higher than prior year with favorable demand levels as we exited 2025. In allied staffing, demand in the fourth quarter increased sequentially, growing throughout the quarter, and was in line with prior year. Full year demand for allied staffing was also higher than prior year with favorable demand levels as we exited 2025. We experienced an increase in client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requests for support with potential labor disruption events during 2025, primarily for nurse and allied staffing, and expect this trend to continue into next year.</w:t>
      </w:r>
    </w:p>
    <w:p>
      <w:pPr>
        <w:spacing w:after="0" w:line="159" w:lineRule="exact"/>
        <w:rPr>
          <w:sz w:val="20"/>
          <w:szCs w:val="20"/>
          <w:color w:val="auto"/>
        </w:rPr>
      </w:pPr>
    </w:p>
    <w:p>
      <w:pPr>
        <w:ind w:firstLine="393"/>
        <w:spacing w:after="0" w:line="267" w:lineRule="auto"/>
        <w:rPr>
          <w:sz w:val="20"/>
          <w:szCs w:val="20"/>
          <w:color w:val="auto"/>
        </w:rPr>
      </w:pPr>
      <w:r>
        <w:rPr>
          <w:rFonts w:ascii="Times New Roman" w:cs="Times New Roman" w:eastAsia="Times New Roman" w:hAnsi="Times New Roman"/>
          <w:sz w:val="17"/>
          <w:szCs w:val="17"/>
          <w:color w:val="auto"/>
        </w:rPr>
        <w:t>Staffing volumes for our nurse and allied solutions segment in the fourth quarter were higher than prior quarter after sequential declines in the second and third quarters. The increase in staffing volume was due to strong winter orders and volume in travel nursing, seasonal growth in allied staffing for schools, and a return to modest growth of the international nurse business after nine quarters of decline. Additionally, we supported a significant labor disruption event in the fourth quarter which favorably impacted the segment’s revenue. Bill rates for the nurse and allied solutions segment in the fourth quarter were slightly higher than prior quarter and flat compared to prior year, indicating stabilization of market rates.</w:t>
      </w:r>
    </w:p>
    <w:p>
      <w:pPr>
        <w:spacing w:after="0" w:line="93" w:lineRule="exact"/>
        <w:rPr>
          <w:sz w:val="20"/>
          <w:szCs w:val="20"/>
          <w:color w:val="auto"/>
        </w:rPr>
      </w:pPr>
    </w:p>
    <w:p>
      <w:pPr>
        <w:ind w:right="200" w:firstLine="393"/>
        <w:spacing w:after="0" w:line="265" w:lineRule="auto"/>
        <w:rPr>
          <w:sz w:val="20"/>
          <w:szCs w:val="20"/>
          <w:color w:val="auto"/>
        </w:rPr>
      </w:pPr>
      <w:r>
        <w:rPr>
          <w:rFonts w:ascii="Times New Roman" w:cs="Times New Roman" w:eastAsia="Times New Roman" w:hAnsi="Times New Roman"/>
          <w:sz w:val="17"/>
          <w:szCs w:val="17"/>
          <w:color w:val="auto"/>
        </w:rPr>
        <w:t>In our physician and leadership solutions segment, demand for our locum tenens staffing business in the fourth quarter increased from the prior quarter and was in line with the prior year. Certified registered nurse anesthetists (CRNAs) continue to be the largest specialty for our locum tenens staffing business. Revenue per day filled increased in the fourth quarter as compared to both the prior year and prior quarter while days filled were lower compared to prior quarter and prior year. Demand in the fourth quarter for interim leadership was higher compared to prior year but lower sequentially. Demand for our search business was lower as compared to prior year and prior quarter. Both businesses have been impacted by healthcare organizations deferring hiring decisions or increasing insourcing.</w:t>
      </w:r>
    </w:p>
    <w:p>
      <w:pPr>
        <w:spacing w:after="0" w:line="108" w:lineRule="exact"/>
        <w:rPr>
          <w:sz w:val="20"/>
          <w:szCs w:val="20"/>
          <w:color w:val="auto"/>
        </w:rPr>
      </w:pPr>
    </w:p>
    <w:p>
      <w:pPr>
        <w:ind w:right="400" w:firstLine="393"/>
        <w:spacing w:after="0" w:line="277" w:lineRule="auto"/>
        <w:rPr>
          <w:sz w:val="20"/>
          <w:szCs w:val="20"/>
          <w:color w:val="auto"/>
        </w:rPr>
      </w:pPr>
      <w:r>
        <w:rPr>
          <w:rFonts w:ascii="Times New Roman" w:cs="Times New Roman" w:eastAsia="Times New Roman" w:hAnsi="Times New Roman"/>
          <w:sz w:val="17"/>
          <w:szCs w:val="17"/>
          <w:color w:val="auto"/>
        </w:rPr>
        <w:t>In our technology and workforce solutions segment, our language services business experienced a seasonal drop in minutes sequentially in the fourth quarter, but minutes for the full year were higher than prior year. Ongoing pricing pressure for language services is expected due to increased market competition. Volumes and bill rates in our VMS business were both lower compared to the prior year and prior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178"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The following table sets forth, for the periods indicated, certain statements of operations data as a percentage of revenue. Our results of operations include three reportable segments: (1) nurse and allied solutions, (2) physician and leadership solutions, and (3) technology and workforce solutions. The acquisition and sale of disposal group during the three years ended December 31, 2025 impact the comparability of the results between the years presented.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Acquisitions and </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Sale of Disposal Group.” Our historical results are not necessarily indicative of our results of operations to be expected in the future.</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4"/>
        </w:trPr>
        <w:tc>
          <w:tcPr>
            <w:tcW w:w="69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84"/>
        </w:trPr>
        <w:tc>
          <w:tcPr>
            <w:tcW w:w="60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300" w:type="dxa"/>
            <w:vAlign w:val="bottom"/>
            <w:shd w:val="clear" w:color="auto" w:fill="CCEEFF"/>
          </w:tcPr>
          <w:p>
            <w:pPr>
              <w:spacing w:after="0"/>
              <w:rPr>
                <w:sz w:val="19"/>
                <w:szCs w:val="19"/>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3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300" w:type="dxa"/>
            <w:vAlign w:val="bottom"/>
          </w:tcPr>
          <w:p>
            <w:pPr>
              <w:spacing w:after="0"/>
              <w:rPr>
                <w:sz w:val="18"/>
                <w:szCs w:val="18"/>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300" w:type="dxa"/>
            <w:vAlign w:val="bottom"/>
            <w:shd w:val="clear" w:color="auto" w:fill="CCEEFF"/>
          </w:tcPr>
          <w:p>
            <w:pPr>
              <w:spacing w:after="0"/>
              <w:rPr>
                <w:sz w:val="19"/>
                <w:szCs w:val="19"/>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tcPr>
          <w:p>
            <w:pPr>
              <w:spacing w:after="0"/>
              <w:rPr>
                <w:sz w:val="19"/>
                <w:szCs w:val="19"/>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sale of disposal group</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assets impairment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300" w:type="dxa"/>
            <w:vAlign w:val="bottom"/>
            <w:shd w:val="clear" w:color="auto" w:fill="CCEEFF"/>
          </w:tcPr>
          <w:p>
            <w:pPr>
              <w:spacing w:after="0"/>
              <w:rPr>
                <w:sz w:val="19"/>
                <w:szCs w:val="19"/>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300" w:type="dxa"/>
            <w:vAlign w:val="bottom"/>
          </w:tcPr>
          <w:p>
            <w:pPr>
              <w:spacing w:after="0"/>
              <w:rPr>
                <w:sz w:val="18"/>
                <w:szCs w:val="18"/>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shd w:val="clear" w:color="auto" w:fill="CCEEFF"/>
          </w:tcPr>
          <w:p>
            <w:pPr>
              <w:spacing w:after="0"/>
              <w:rPr>
                <w:sz w:val="19"/>
                <w:szCs w:val="19"/>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3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00" w:type="dxa"/>
            <w:vAlign w:val="bottom"/>
          </w:tcPr>
          <w:p>
            <w:pPr>
              <w:spacing w:after="0"/>
              <w:rPr>
                <w:sz w:val="18"/>
                <w:szCs w:val="18"/>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shd w:val="clear" w:color="auto" w:fill="CCEEFF"/>
          </w:tcPr>
          <w:p>
            <w:pPr>
              <w:spacing w:after="0"/>
              <w:rPr>
                <w:sz w:val="19"/>
                <w:szCs w:val="19"/>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9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Comparison of Results for the Year Ended December 31, 2025 to the Year Ended December 31, 2024</w:t>
      </w:r>
    </w:p>
    <w:p>
      <w:pPr>
        <w:spacing w:after="0" w:line="185" w:lineRule="exact"/>
        <w:rPr>
          <w:sz w:val="20"/>
          <w:szCs w:val="20"/>
          <w:color w:val="auto"/>
        </w:rPr>
      </w:pPr>
    </w:p>
    <w:p>
      <w:pPr>
        <w:ind w:right="400" w:firstLine="393"/>
        <w:spacing w:after="0" w:line="302"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Revenue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Revenue decreased 8% to $2,730.4 million for 2025 from $2,983.8 million for 2024, attributable to a decline in organic revenue across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segments with the greatest decline in our nurse and allied solutions segment. Revenue broken down among the reportable segments is as follows: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(In Thousands)</w:t>
      </w:r>
    </w:p>
    <w:p>
      <w:pPr>
        <w:ind w:left="9000"/>
        <w:spacing w:after="0" w:line="197" w:lineRule="auto"/>
        <w:rPr>
          <w:sz w:val="20"/>
          <w:szCs w:val="20"/>
          <w:color w:val="auto"/>
        </w:rPr>
      </w:pPr>
      <w:r>
        <w:rPr>
          <w:rFonts w:ascii="Times New Roman" w:cs="Times New Roman" w:eastAsia="Times New Roman" w:hAnsi="Times New Roman"/>
          <w:sz w:val="14"/>
          <w:szCs w:val="14"/>
          <w:b w:val="1"/>
          <w:bCs w:val="1"/>
          <w:color w:val="auto"/>
        </w:rPr>
        <w:t>Years Ended</w:t>
      </w: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Nurse and allied solutions</w:t>
            </w: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1,647,318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1,815,718</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Physician and leadership solutions</w:t>
            </w:r>
          </w:p>
        </w:tc>
        <w:tc>
          <w:tcPr>
            <w:tcW w:w="10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696,362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728,608</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workforce solutions</w:t>
            </w:r>
          </w:p>
        </w:tc>
        <w:tc>
          <w:tcPr>
            <w:tcW w:w="10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386,749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439,455</w:t>
            </w:r>
          </w:p>
        </w:tc>
      </w:tr>
      <w:tr>
        <w:trPr>
          <w:trHeight w:val="216"/>
        </w:trPr>
        <w:tc>
          <w:tcPr>
            <w:tcW w:w="7520" w:type="dxa"/>
            <w:vAlign w:val="bottom"/>
          </w:tcPr>
          <w:p>
            <w:pPr>
              <w:spacing w:after="0"/>
              <w:rPr>
                <w:sz w:val="18"/>
                <w:szCs w:val="18"/>
                <w:color w:val="auto"/>
              </w:rPr>
            </w:pP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2,730,429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2,983,781</w:t>
            </w: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right="100" w:firstLine="433"/>
        <w:spacing w:after="0" w:line="270" w:lineRule="auto"/>
        <w:rPr>
          <w:sz w:val="20"/>
          <w:szCs w:val="20"/>
          <w:color w:val="auto"/>
        </w:rPr>
      </w:pPr>
      <w:r>
        <w:rPr>
          <w:rFonts w:ascii="Times New Roman" w:cs="Times New Roman" w:eastAsia="Times New Roman" w:hAnsi="Times New Roman"/>
          <w:sz w:val="17"/>
          <w:szCs w:val="17"/>
          <w:color w:val="auto"/>
        </w:rPr>
        <w:t>Nurse and allied solutions segment revenue decreased 9% to $1,647.3 million for 2025 from $1,815.7 million for 2024. The $168.4 million decrease was primarily attributable to a $240.1 million decline driven by a 14% decrease in the average number of travelers on assignment, a $32.0 million decline driven by a 2% decrease in the average bill rate, and a $14.4 million decline driven by a 1% decrease in average billable hours during the year ended December 31, 2025. The overall decrease was partially offset by a $127.9 million increase in labor disruption revenue.</w:t>
      </w:r>
    </w:p>
    <w:p>
      <w:pPr>
        <w:spacing w:after="0" w:line="91"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Physician and leadership solutions segment revenue decreased 4% to $696.4 million for 2025 from $728.6 million for 2024. The $32.2 million decrease was attributable to lower revenue across all businesses within the segment. Revenue in our locum tenens business declined slightly during 2025 primarily due to a $42.9 million decline driven by an 8% decrease in the number of days filled, partially offset by a $41.7 million increase driven by an 8% increase in the revenue per day filled. Our interim leadership business experienced a decline of $21.8 million (or 19%) and our physician permanent placement and executive search businesses declined $9.3 million (or 20%) during 2025.</w:t>
      </w:r>
    </w:p>
    <w:p>
      <w:pPr>
        <w:spacing w:after="0" w:line="106" w:lineRule="exact"/>
        <w:rPr>
          <w:sz w:val="20"/>
          <w:szCs w:val="20"/>
          <w:color w:val="auto"/>
        </w:rPr>
      </w:pPr>
    </w:p>
    <w:p>
      <w:pPr>
        <w:ind w:right="180" w:firstLine="433"/>
        <w:spacing w:after="0" w:line="270" w:lineRule="auto"/>
        <w:rPr>
          <w:sz w:val="20"/>
          <w:szCs w:val="20"/>
          <w:color w:val="auto"/>
        </w:rPr>
      </w:pPr>
      <w:r>
        <w:rPr>
          <w:rFonts w:ascii="Times New Roman" w:cs="Times New Roman" w:eastAsia="Times New Roman" w:hAnsi="Times New Roman"/>
          <w:sz w:val="17"/>
          <w:szCs w:val="17"/>
          <w:color w:val="auto"/>
        </w:rPr>
        <w:t>Technology and workforce solutions segment revenue decreased 12% to $386.7 million for 2025 from $439.5 million for 2024. The $52.7 million decrease was attributable to lower revenue across all businesses within the segment. Revenue for our VMS business declined $32.6 million (or 31%) due to lower staffing utilization on the platforms along with several client losses, and our outsourced solutions business declined $6.8 million (or 44%) primarily due to lower demand. Other technology business declined $9.8 million (or 53%) primarily due to the sale of our Smart Square healthcare scheduling software.</w:t>
      </w:r>
    </w:p>
    <w:p>
      <w:pPr>
        <w:spacing w:after="0" w:line="117" w:lineRule="exact"/>
        <w:rPr>
          <w:sz w:val="20"/>
          <w:szCs w:val="20"/>
          <w:color w:val="auto"/>
        </w:rPr>
      </w:pPr>
    </w:p>
    <w:p>
      <w:pPr>
        <w:jc w:val="both"/>
        <w:ind w:right="140" w:firstLine="393"/>
        <w:spacing w:after="0" w:line="277" w:lineRule="auto"/>
        <w:rPr>
          <w:sz w:val="20"/>
          <w:szCs w:val="20"/>
          <w:color w:val="auto"/>
        </w:rPr>
      </w:pPr>
      <w:r>
        <w:rPr>
          <w:rFonts w:ascii="Times New Roman" w:cs="Times New Roman" w:eastAsia="Times New Roman" w:hAnsi="Times New Roman"/>
          <w:sz w:val="17"/>
          <w:szCs w:val="17"/>
          <w:color w:val="auto"/>
        </w:rPr>
        <w:t>For 2025 and 2024, revenue under our MSP arrangements comprised approximately 48% and 45% of our consolidated revenue, 71% and 67% for nurse and allied solutions segment revenue, 18% and 15% for physician and leadership solutions segment revenue, and 3% and 3% of our technology and workforce solutions segment revenue, respectively.</w:t>
      </w:r>
    </w:p>
    <w:p>
      <w:pPr>
        <w:spacing w:after="0" w:line="185" w:lineRule="exact"/>
        <w:rPr>
          <w:sz w:val="20"/>
          <w:szCs w:val="20"/>
          <w:color w:val="auto"/>
        </w:rPr>
      </w:pPr>
    </w:p>
    <w:p>
      <w:pPr>
        <w:ind w:right="80" w:firstLine="433"/>
        <w:spacing w:after="0" w:line="279"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Cost of Revenue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 of revenue, which consists predominantly of compensation, benefits, housing, travel and allowance costs for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professionals and medically qualified interpreters, decreased 5% to $1,956.4 million for 2025 from $2,064.4 million for 2024. The $108.0 million decrease was primarily attributable to a decrease in our nurse and allied solutions segment. Cost of revenue broken down among the reportable segments is as follows:</w:t>
      </w:r>
    </w:p>
    <w:p>
      <w:pPr>
        <w:spacing w:after="0" w:line="221"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(In Thousands)</w:t>
      </w:r>
    </w:p>
    <w:p>
      <w:pPr>
        <w:ind w:left="9380"/>
        <w:spacing w:after="0" w:line="197" w:lineRule="auto"/>
        <w:rPr>
          <w:sz w:val="20"/>
          <w:szCs w:val="20"/>
          <w:color w:val="auto"/>
        </w:rPr>
      </w:pPr>
      <w:r>
        <w:rPr>
          <w:rFonts w:ascii="Times New Roman" w:cs="Times New Roman" w:eastAsia="Times New Roman" w:hAnsi="Times New Roman"/>
          <w:sz w:val="14"/>
          <w:szCs w:val="14"/>
          <w:b w:val="1"/>
          <w:bCs w:val="1"/>
          <w:color w:val="auto"/>
        </w:rPr>
        <w:t>Years Ended</w:t>
      </w: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Nurse and allied solutions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1,371,660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Physician and leadership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511,959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workforce solutions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180,786</w:t>
            </w:r>
          </w:p>
        </w:tc>
      </w:tr>
      <w:tr>
        <w:trPr>
          <w:trHeight w:val="216"/>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1,956,371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2,064,405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The decrease in our nurse and allied solutions segment was primarily attributable to a $97.8 million decrease in provider pay package costs, including housing, travel and allowances, primarily due to the aforementioned decrease in the average number of travelers on assignment. The decrease in our physician and leadership solutions segment was primarily driven by a $14.5 million decrease in provider pay package costs in our interim leadership business, primarily due to aforementioned decline in demand, partially offset by a $7.3 million increase in provider pay package costs in our locum tenens business. The increase in our technology and workforce solutions segment was primarily due to higher interpreter minutes for our language services business partially offset by the sale of our Smart Square healthcare scheduling software.</w:t>
      </w:r>
    </w:p>
    <w:p>
      <w:pPr>
        <w:spacing w:after="0" w:line="196" w:lineRule="exact"/>
        <w:rPr>
          <w:sz w:val="20"/>
          <w:szCs w:val="20"/>
          <w:color w:val="auto"/>
        </w:rPr>
      </w:pPr>
    </w:p>
    <w:p>
      <w:pPr>
        <w:ind w:right="120" w:firstLine="433"/>
        <w:spacing w:after="0" w:line="272"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Gross Profit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Gross profit decreased 16% to $774.1 million for 2025 from $919.4 million for 2024, representing gross margins of 28.3% and 30.8%,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respectively. The decline in consolidated gross margin for the year ended December 31, 2025 was primarily due to (1) lower margins in our nurse and allied solutions and physician and leadership solutions segments driven by compression in clinician pay packages, including housing, travel and allowances and (2) a lower margin in our technology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and workforce solutions segment primarily due to pricing pressure for our language services business due to increased market competition and a shift in sales mix resulting from reduced revenue in our higher-margin VMS business and the sale of our Smart Square healthcare scheduling software. The overall decline was partially offset by a change in sales mix resulting from lower revenue in our nurse and allied solutions segment. Gross margin by reportable segment for 2025 and 2024 was 23.0% and 24.5% for nurse and allied solutions, 27.6% and 29.7% for physician and leadership solutions, and 52.7% and 58.9% for technology and workforce solutions, respectively. Gross profit broken down among the reportable segments is as follows:</w:t>
      </w:r>
    </w:p>
    <w:p>
      <w:pPr>
        <w:spacing w:after="0" w:line="23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(In Thousands)</w:t>
      </w:r>
    </w:p>
    <w:p>
      <w:pPr>
        <w:ind w:left="9000"/>
        <w:spacing w:after="0" w:line="197" w:lineRule="auto"/>
        <w:rPr>
          <w:sz w:val="20"/>
          <w:szCs w:val="20"/>
          <w:color w:val="auto"/>
        </w:rPr>
      </w:pPr>
      <w:r>
        <w:rPr>
          <w:rFonts w:ascii="Times New Roman" w:cs="Times New Roman" w:eastAsia="Times New Roman" w:hAnsi="Times New Roman"/>
          <w:sz w:val="14"/>
          <w:szCs w:val="14"/>
          <w:b w:val="1"/>
          <w:bCs w:val="1"/>
          <w:color w:val="auto"/>
        </w:rPr>
        <w:t>Years Ended</w:t>
      </w: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2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Nurse and allied solutions</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444,058</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Physician and leadership solutions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216,649</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workforce solutions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203,926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258,669</w:t>
            </w:r>
          </w:p>
        </w:tc>
      </w:tr>
      <w:tr>
        <w:trPr>
          <w:trHeight w:val="216"/>
        </w:trPr>
        <w:tc>
          <w:tcPr>
            <w:tcW w:w="7520" w:type="dxa"/>
            <w:vAlign w:val="bottom"/>
          </w:tcPr>
          <w:p>
            <w:pPr>
              <w:spacing w:after="0"/>
              <w:rPr>
                <w:sz w:val="18"/>
                <w:szCs w:val="18"/>
                <w:color w:val="auto"/>
              </w:rPr>
            </w:pP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774,058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919,376</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Selling, General and Administrative Expenses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Selling, general and administrative (“SG&amp;A”) expenses consist predominantly of compensation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benefits costs for corporate employees, in addition to professional service fees, legal matter accruals and other overhead costs. SG&amp;A expenses were $593.0 million, representing 21.7% of revenue, for 2025, as compared to $632.5 million, representing 21.2% of revenue, for 2024. The decrease in SG&amp;A expenses was primarily due to $37.2 million of lower employee compensation and benefits (inclusive of share-based compensation) in response to the lower revenue. The year-over-year decrease was partially offset by a $12.3 million year-over-year increase due to a $10.5 million unfavorable actuarial-based increase in our professional liability reserves as compared to a $1.8 million favorable actuarial-based decrease in the same period in 2024. SG&amp;A expenses broken down among the reportable segments, unallocated corporate overhead, and share-based compensation are as follows:</w:t>
      </w:r>
    </w:p>
    <w:p>
      <w:pPr>
        <w:spacing w:after="0" w:line="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(In Thousands)</w:t>
      </w:r>
    </w:p>
    <w:p>
      <w:pPr>
        <w:jc w:val="center"/>
        <w:ind w:left="8240"/>
        <w:spacing w:after="0" w:line="216" w:lineRule="auto"/>
        <w:rPr>
          <w:sz w:val="20"/>
          <w:szCs w:val="20"/>
          <w:color w:val="auto"/>
        </w:rPr>
      </w:pPr>
      <w:r>
        <w:rPr>
          <w:rFonts w:ascii="Times New Roman" w:cs="Times New Roman" w:eastAsia="Times New Roman" w:hAnsi="Times New Roman"/>
          <w:sz w:val="14"/>
          <w:szCs w:val="14"/>
          <w:b w:val="1"/>
          <w:bCs w:val="1"/>
          <w:color w:val="auto"/>
        </w:rPr>
        <w:t>Years Ended</w:t>
      </w:r>
    </w:p>
    <w:p>
      <w:pPr>
        <w:spacing w:after="0" w:line="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Nurse and allied solutions</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270,467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Physician and leadership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137,600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workforce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91,590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Unallocated corporate overhead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109,515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23,317</w:t>
            </w:r>
          </w:p>
        </w:tc>
      </w:tr>
      <w:tr>
        <w:trPr>
          <w:trHeight w:val="216"/>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593,022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632,489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right="560" w:firstLine="433"/>
        <w:spacing w:after="0" w:line="268"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Depreciation and Amortization Expenses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Amortization expense decreased 16% to $78.0 million for 2025 from $92.8 million for 2024, primarily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attributable to having more intangible assets fully amortized during the year ended December 31, 2025. Depreciation expense (exclusive of depreciation included in cost of revenue) decreased 6% to $69.8 million for 2025 from $74.3 million for 2024, primarily attributable to the mix of depreciable assets. Additionally, $8.7 million and $6.7 million of depreciation expense for our language services business is included in cost of revenue for 2025 and 2024, respectively.</w:t>
      </w:r>
    </w:p>
    <w:p>
      <w:pPr>
        <w:spacing w:after="0" w:line="89" w:lineRule="exact"/>
        <w:rPr>
          <w:sz w:val="20"/>
          <w:szCs w:val="20"/>
          <w:color w:val="auto"/>
        </w:rPr>
      </w:pPr>
    </w:p>
    <w:p>
      <w:pPr>
        <w:ind w:right="280" w:firstLine="433"/>
        <w:spacing w:after="0" w:line="279"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Gain on Sale of Disposal Group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gain on sale of disposal group of $(39.1) million was recognized during the year ended December 31, 2025. See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“Sale of Disposal Group.”</w:t>
      </w:r>
    </w:p>
    <w:p>
      <w:pPr>
        <w:spacing w:after="0" w:line="92" w:lineRule="exact"/>
        <w:rPr>
          <w:sz w:val="20"/>
          <w:szCs w:val="20"/>
          <w:color w:val="auto"/>
        </w:rPr>
      </w:pPr>
    </w:p>
    <w:p>
      <w:pPr>
        <w:ind w:right="20" w:firstLine="433"/>
        <w:spacing w:after="0" w:line="272"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Goodwill Impairment Losses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goodwill impairment loss of $109.5 million was recognized in the physician and leadership solutions segment during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year ended December 31, 2025 as compared to $123.3 million and $99.2 million in the nurse and allied solutions segment and physician and leadership solutions segment, respectively, during the year ended December 31, 2024. See additional information in “Item 8. Financial Statements and Supplementary Data —Notes to Consolidated Financial Statements—</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Goodwill and Identifiable Intangible Assets.”</w:t>
      </w:r>
    </w:p>
    <w:p>
      <w:pPr>
        <w:spacing w:after="0" w:line="97" w:lineRule="exact"/>
        <w:rPr>
          <w:sz w:val="20"/>
          <w:szCs w:val="20"/>
          <w:color w:val="auto"/>
        </w:rPr>
      </w:pPr>
    </w:p>
    <w:p>
      <w:pPr>
        <w:ind w:right="120" w:firstLine="433"/>
        <w:spacing w:after="0" w:line="279"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Long-Lived Assets Impairment Loss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 impairment loss of $18.3 million was recognized for intangible assets during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Goodwill and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-309880</wp:posOffset>
            </wp:positionV>
            <wp:extent cx="27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59" w:lineRule="exact"/>
        <w:rPr>
          <w:sz w:val="20"/>
          <w:szCs w:val="20"/>
          <w:color w:val="auto"/>
        </w:rPr>
      </w:pPr>
    </w:p>
    <w:p>
      <w:pPr>
        <w:ind w:right="140" w:firstLine="433"/>
        <w:spacing w:after="0" w:line="302"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Interest Expense, Net, and Other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expense, net, and other, was $45.6 million for 2025 as compared to $69.9 million for 2024. The decrease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primarily due to (1) a lower average debt outstanding balance during 2025 and (2) a</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 million loss related to the change in fair value of an equity investment during 2024. The decrease was partially offset by (1) the issuance of our 2031 Notes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defined below in this Item 7) in October 2025. The proceeds from the issuance of the higher interest bearing senior notes were used to repay our 2027 Notes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defined below in this Item 7) in the fourth quarter of 2025.</w:t>
      </w:r>
    </w:p>
    <w:p>
      <w:pPr>
        <w:spacing w:after="0" w:line="3" w:lineRule="exact"/>
        <w:rPr>
          <w:sz w:val="20"/>
          <w:szCs w:val="20"/>
          <w:color w:val="auto"/>
        </w:rPr>
      </w:pPr>
    </w:p>
    <w:p>
      <w:pPr>
        <w:jc w:val="both"/>
        <w:ind w:right="100" w:firstLine="433"/>
        <w:spacing w:after="0" w:line="24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Income Tax Benefit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Income tax benefit was $(5.4) million for 2025 as compared to income tax benefit of $(25.6) million for 2024, reflecting effective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income tax rates of 5% and 15% for these periods, respectively. </w:t>
      </w:r>
      <w:r>
        <w:rPr>
          <w:rFonts w:ascii="Times New Roman" w:cs="Times New Roman" w:eastAsia="Times New Roman" w:hAnsi="Times New Roman"/>
          <w:sz w:val="17"/>
          <w:szCs w:val="17"/>
          <w:color w:val="090909"/>
        </w:rPr>
        <w:t>The decrease in the effective income tax rate in</w:t>
      </w:r>
      <w:r>
        <w:rPr>
          <w:rFonts w:ascii="Times New Roman" w:cs="Times New Roman" w:eastAsia="Times New Roman" w:hAnsi="Times New Roman"/>
          <w:sz w:val="17"/>
          <w:szCs w:val="17"/>
          <w:color w:val="auto"/>
        </w:rPr>
        <w:t xml:space="preserve"> 2025 </w:t>
      </w:r>
      <w:r>
        <w:rPr>
          <w:rFonts w:ascii="Times New Roman" w:cs="Times New Roman" w:eastAsia="Times New Roman" w:hAnsi="Times New Roman"/>
          <w:sz w:val="17"/>
          <w:szCs w:val="17"/>
          <w:color w:val="090909"/>
        </w:rPr>
        <w:t>was primarily attributable to tax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90909"/>
        </w:rPr>
        <w:t xml:space="preserve">of </w:t>
      </w:r>
      <w:r>
        <w:rPr>
          <w:rFonts w:ascii="Times New Roman" w:cs="Times New Roman" w:eastAsia="Times New Roman" w:hAnsi="Times New Roman"/>
          <w:sz w:val="17"/>
          <w:szCs w:val="17"/>
          <w:color w:val="000000"/>
        </w:rPr>
        <w:t>$4.2 million</w:t>
      </w:r>
      <w:r>
        <w:rPr>
          <w:rFonts w:ascii="Times New Roman" w:cs="Times New Roman" w:eastAsia="Times New Roman" w:hAnsi="Times New Roman"/>
          <w:sz w:val="17"/>
          <w:szCs w:val="17"/>
          <w:color w:val="090909"/>
        </w:rPr>
        <w:t xml:space="preserve"> due to the goodwill disposal from the sale of our Smart Square healthcare scheduling software. </w:t>
      </w:r>
      <w:r>
        <w:rPr>
          <w:rFonts w:ascii="Times New Roman" w:cs="Times New Roman" w:eastAsia="Times New Roman" w:hAnsi="Times New Roman"/>
          <w:sz w:val="17"/>
          <w:szCs w:val="17"/>
          <w:color w:val="000000"/>
        </w:rPr>
        <w:t>See additional information in “Item 8. Financial</w:t>
      </w:r>
      <w:r>
        <w:rPr>
          <w:rFonts w:ascii="Times New Roman" w:cs="Times New Roman" w:eastAsia="Times New Roman" w:hAnsi="Times New Roman"/>
          <w:sz w:val="17"/>
          <w:szCs w:val="17"/>
          <w:color w:val="090909"/>
        </w:rPr>
        <w:t xml:space="preserve"> </w:t>
      </w:r>
      <w:r>
        <w:rPr>
          <w:rFonts w:ascii="Times New Roman" w:cs="Times New Roman" w:eastAsia="Times New Roman" w:hAnsi="Times New Roman"/>
          <w:sz w:val="17"/>
          <w:szCs w:val="17"/>
          <w:color w:val="000000"/>
        </w:rPr>
        <w:t>Statements and Supplementary Data—Notes to Consolidated Financial Statements—</w:t>
      </w:r>
      <w:r>
        <w:rPr>
          <w:rFonts w:ascii="Times New Roman" w:cs="Times New Roman" w:eastAsia="Times New Roman" w:hAnsi="Times New Roman"/>
          <w:sz w:val="17"/>
          <w:szCs w:val="17"/>
          <w:u w:val="single" w:color="auto"/>
          <w:color w:val="0000FF"/>
        </w:rPr>
        <w:t>Note (8)</w:t>
      </w:r>
      <w:r>
        <w:rPr>
          <w:rFonts w:ascii="Times New Roman" w:cs="Times New Roman" w:eastAsia="Times New Roman" w:hAnsi="Times New Roman"/>
          <w:sz w:val="17"/>
          <w:szCs w:val="17"/>
          <w:color w:val="000000"/>
        </w:rPr>
        <w:t xml:space="preserve">, Income Taxes, and </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000000"/>
        </w:rPr>
        <w:t>, Sale of Disposal Group.”</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Comparison of Results for the Year Ended December 31, 2024 to the Year Ended December 31, 2023</w:t>
      </w:r>
    </w:p>
    <w:p>
      <w:pPr>
        <w:spacing w:after="0" w:line="163" w:lineRule="exact"/>
        <w:rPr>
          <w:sz w:val="20"/>
          <w:szCs w:val="20"/>
          <w:color w:val="auto"/>
        </w:rPr>
      </w:pPr>
    </w:p>
    <w:p>
      <w:pPr>
        <w:ind w:right="240" w:firstLine="393"/>
        <w:spacing w:after="0" w:line="277" w:lineRule="auto"/>
        <w:rPr>
          <w:sz w:val="20"/>
          <w:szCs w:val="20"/>
          <w:color w:val="auto"/>
        </w:rPr>
      </w:pPr>
      <w:r>
        <w:rPr>
          <w:rFonts w:ascii="Times New Roman" w:cs="Times New Roman" w:eastAsia="Times New Roman" w:hAnsi="Times New Roman"/>
          <w:sz w:val="17"/>
          <w:szCs w:val="17"/>
          <w:color w:val="auto"/>
        </w:rPr>
        <w:t>We describe in detail the comparison of results for the years ended December 31, 2024 and 2023 in “Item 7. Management’s Discussion and Analysis of Financial Condition and Results of Operations—Results of Operations—Comparison of Results for the Year Ended December 31, 2024 to the Year Ended December 31, 2023” of our 2024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and Capital Resources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summary, our cash flows were:</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7"/>
        </w:trPr>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372,165</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(412,493)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(259,448)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10,729</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(22,134)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(29,599)</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firstLine="393"/>
        <w:spacing w:after="0" w:line="274" w:lineRule="auto"/>
        <w:rPr>
          <w:sz w:val="20"/>
          <w:szCs w:val="20"/>
          <w:color w:val="auto"/>
        </w:rPr>
      </w:pPr>
      <w:r>
        <w:rPr>
          <w:rFonts w:ascii="Times New Roman" w:cs="Times New Roman" w:eastAsia="Times New Roman" w:hAnsi="Times New Roman"/>
          <w:sz w:val="17"/>
          <w:szCs w:val="17"/>
          <w:color w:val="auto"/>
        </w:rPr>
        <w:t>Historically, our primary liquidity requirements have been for acquisitions, working capital requirements, and debt service under our credit facilities and senior notes. We have funded these requirements through internally generated cash flow and funds borrowed under our credit facilities and senior notes. During the fourth quarter of 2025, we redeemed the entire outstanding $500.0 million aggregate principal amount of our 4.625% senior notes due 2027 (“the 2027 Notes”).</w:t>
      </w:r>
    </w:p>
    <w:p>
      <w:pPr>
        <w:spacing w:after="0" w:line="314" w:lineRule="exact"/>
        <w:rPr>
          <w:sz w:val="20"/>
          <w:szCs w:val="20"/>
          <w:color w:val="auto"/>
        </w:rPr>
      </w:pPr>
    </w:p>
    <w:p>
      <w:pPr>
        <w:ind w:right="40" w:firstLine="393"/>
        <w:spacing w:after="0" w:line="266" w:lineRule="auto"/>
        <w:rPr>
          <w:sz w:val="20"/>
          <w:szCs w:val="20"/>
          <w:color w:val="auto"/>
        </w:rPr>
      </w:pPr>
      <w:r>
        <w:rPr>
          <w:rFonts w:ascii="Times New Roman" w:cs="Times New Roman" w:eastAsia="Times New Roman" w:hAnsi="Times New Roman"/>
          <w:sz w:val="17"/>
          <w:szCs w:val="17"/>
          <w:color w:val="auto"/>
        </w:rPr>
        <w:t>As of December 31, 2025, (1) $25.0 million was drawn with $404.8 million of available credit under the Senior Credit Facility (as defined below), (2) the aggregate principal amount of our 2029 Notes (as defined below) outstanding was $350.0 million, and (3) the aggregate principal amount of our 2031 Notes (as defined below) outstanding was $400.0 million. As of December 31, 2025, we were in compliance with the various covenants under our debt instruments. We describe in further detail our Amended Credit Agreement (as defined below), under which our Senior Credit Facility is governed, the 2029 Notes and the 2031 Notes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Notes Payable and Credit Agreement.”</w:t>
      </w:r>
    </w:p>
    <w:p>
      <w:pPr>
        <w:spacing w:after="0" w:line="320" w:lineRule="exact"/>
        <w:rPr>
          <w:sz w:val="20"/>
          <w:szCs w:val="20"/>
          <w:color w:val="auto"/>
        </w:rPr>
      </w:pPr>
    </w:p>
    <w:p>
      <w:pPr>
        <w:ind w:right="280" w:firstLine="393"/>
        <w:spacing w:after="0" w:line="265" w:lineRule="auto"/>
        <w:rPr>
          <w:sz w:val="20"/>
          <w:szCs w:val="20"/>
          <w:color w:val="auto"/>
        </w:rPr>
      </w:pPr>
      <w:r>
        <w:rPr>
          <w:rFonts w:ascii="Times New Roman" w:cs="Times New Roman" w:eastAsia="Times New Roman" w:hAnsi="Times New Roman"/>
          <w:sz w:val="17"/>
          <w:szCs w:val="17"/>
          <w:color w:val="auto"/>
        </w:rPr>
        <w:t>As of December 31, 2025, the total of our contractual obligations under operating leases with initial terms in excess of one year was $42.3 million. We describe in further detail our operating lease arrangements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(6)</w:t>
      </w:r>
      <w:r>
        <w:rPr>
          <w:rFonts w:ascii="Times New Roman" w:cs="Times New Roman" w:eastAsia="Times New Roman" w:hAnsi="Times New Roman"/>
          <w:sz w:val="17"/>
          <w:szCs w:val="17"/>
          <w:color w:val="auto"/>
        </w:rPr>
        <w:t>, Leases.” We also have various obligations and working capital requirements, such as certain tax and legal matters, contingent consideration and other liabilities, that are recorded on our consolidated balance sheets.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xml:space="preserve">, Fair Value Measurement, </w:t>
      </w:r>
      <w:r>
        <w:rPr>
          <w:rFonts w:ascii="Times New Roman" w:cs="Times New Roman" w:eastAsia="Times New Roman" w:hAnsi="Times New Roman"/>
          <w:sz w:val="17"/>
          <w:szCs w:val="17"/>
          <w:u w:val="single" w:color="auto"/>
          <w:color w:val="0000FF"/>
        </w:rPr>
        <w:t>Note (7)</w:t>
      </w:r>
      <w:r>
        <w:rPr>
          <w:rFonts w:ascii="Times New Roman" w:cs="Times New Roman" w:eastAsia="Times New Roman" w:hAnsi="Times New Roman"/>
          <w:sz w:val="17"/>
          <w:szCs w:val="17"/>
          <w:color w:val="auto"/>
        </w:rPr>
        <w:t xml:space="preserve">, Balance Sheet Details, </w:t>
      </w:r>
      <w:r>
        <w:rPr>
          <w:rFonts w:ascii="Times New Roman" w:cs="Times New Roman" w:eastAsia="Times New Roman" w:hAnsi="Times New Roman"/>
          <w:sz w:val="17"/>
          <w:szCs w:val="17"/>
          <w:u w:val="single" w:color="auto"/>
          <w:color w:val="0000FF"/>
        </w:rPr>
        <w:t>Note (8)</w:t>
      </w:r>
      <w:r>
        <w:rPr>
          <w:rFonts w:ascii="Times New Roman" w:cs="Times New Roman" w:eastAsia="Times New Roman" w:hAnsi="Times New Roman"/>
          <w:sz w:val="17"/>
          <w:szCs w:val="17"/>
          <w:color w:val="auto"/>
        </w:rPr>
        <w:t xml:space="preserve">, Income Taxes, and </w:t>
      </w:r>
      <w:r>
        <w:rPr>
          <w:rFonts w:ascii="Times New Roman" w:cs="Times New Roman" w:eastAsia="Times New Roman" w:hAnsi="Times New Roman"/>
          <w:sz w:val="17"/>
          <w:szCs w:val="17"/>
          <w:u w:val="single" w:color="auto"/>
          <w:color w:val="0000FF"/>
        </w:rPr>
        <w:t>Note (13)</w:t>
      </w:r>
      <w:r>
        <w:rPr>
          <w:rFonts w:ascii="Times New Roman" w:cs="Times New Roman" w:eastAsia="Times New Roman" w:hAnsi="Times New Roman"/>
          <w:sz w:val="17"/>
          <w:szCs w:val="17"/>
          <w:color w:val="auto"/>
        </w:rPr>
        <w:t>, Commitments and Contingencies.”</w:t>
      </w:r>
    </w:p>
    <w:p>
      <w:pPr>
        <w:spacing w:after="0" w:line="9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 addition to our cash requirements, we have a share repurchase program authorized by our board of directors, which does not require the purchase of any minimum number of shares and may be suspended or discontinued at any time. See additional information in “Item 5. Market For Registrant’s Common Equity, Related Stockholder Matters and Issuer Purchases of Equity Securities.”</w:t>
      </w:r>
    </w:p>
    <w:p>
      <w:pPr>
        <w:spacing w:after="0" w:line="97"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We believe that cash generated from operations and available borrowings under our Senior Credit Facility will be sufficient to fund our operations and liquidity requirements, including expected capital expenditures, for the next 12 months and beyond. We intend to finance potential future acquisitions with cash provided from operations, borrowings under our Senior Credit Facility, or other borrowings under our Amended Credit Agreement, bank loans, debt or equity offerings, or some combination of the foregoing. The following discussion provides further details of our liquidity and capital resources.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89"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Net cash provided by operating activities for 2025, 2024 and 2023 was $269.5 million, $320.4 million and $372.2 million, respectively. In the 2025 and 2024 periods, changes in accounts receivable and subcontractor receivables provided cash from operations of $71.6 million and $223.4 million, respectively, representing a reduction between periods of $151.9 million. The reduction in receivables was more significant in the prior year due to larger declines in revenue and associate vendor usage, as well as the timing of collections. In addition, net income (loss) excluding non-cash expenses decreased year over year by $66.1 million primarily due to a lower segment operating income across our business.</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The overall decrease in net cash provided by operating activities was partially offset by (1) an increase in accounts payable and accrued expenses between periods of $134.3 million primarily due to payment of the legal settlement amount for the Clarke matter in the prior year and a smaller reduction in subcontractor payables in the current year as a result of a larger decline in associate vendor usage in the prior year and timing of payments, (2) an increase in deferred revenue between periods of $7.4 million primarily related to upfront consideration for labor disruption services, and (3) a decrease in income taxes receivable between periods of $7.2 million primarily due to a larger overpayment of estimated taxes in the prior year compared to the current year.</w:t>
      </w:r>
    </w:p>
    <w:p>
      <w:pPr>
        <w:spacing w:after="0" w:line="198" w:lineRule="exact"/>
        <w:rPr>
          <w:sz w:val="20"/>
          <w:szCs w:val="20"/>
          <w:color w:val="auto"/>
        </w:rPr>
      </w:pPr>
    </w:p>
    <w:p>
      <w:pPr>
        <w:jc w:val="both"/>
        <w:ind w:right="220" w:firstLine="467"/>
        <w:spacing w:after="0" w:line="277" w:lineRule="auto"/>
        <w:rPr>
          <w:sz w:val="20"/>
          <w:szCs w:val="20"/>
          <w:color w:val="auto"/>
        </w:rPr>
      </w:pPr>
      <w:r>
        <w:rPr>
          <w:rFonts w:ascii="Times New Roman" w:cs="Times New Roman" w:eastAsia="Times New Roman" w:hAnsi="Times New Roman"/>
          <w:sz w:val="17"/>
          <w:szCs w:val="17"/>
          <w:color w:val="auto"/>
        </w:rPr>
        <w:t>Our Days Sales Outstanding (“DSO”) was 47 as of December 31, 2025, 55 days as of December 31, 2024, and 70 days as of December 31, 2023. Our consolidated results for the year ended December 31, 2023 included only one month of MSDR’s revenue, but our consolidated balance sheet included the full amount of MSDR’s accounts receivable. Excluding the acquisition of MSDR, our DSO was 66 days at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76"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Net cash provided by (used in) investing activities for 2025, 2024 and 2023 was $4.3 million, $(79.9) million and $(412.5) million, respectively. The year-over-year change from 2024 to 2025 in net cash provided by (used in) investing activities was primarily attributable to (1) proceeds from the sale of disposal group of $65.3 million in 2025, (2) a net purchase of investments of $25.4 million in 2025 as compared to net proceeds of investments of $7.7 million in 2024, and (3) $6.4 million of payments to fund the deferred compensation plan that were offset with $6.4 million of proceeds from settlements of company-owned life insurance policies in 2025 as compared to $8.4 million of payments in 2024. In addition, capital expenditures were $35.6 million, $80.9 million and $103.7 million for the years ended December 31, 2025, 2024 and 2023, respectively. Our capital expenditures in recent years were primarily related to ongoing technology investments to support our tech-centric total talent solutions initiatives and to optimize our internal front and back-office systems.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54" w:lineRule="exact"/>
        <w:rPr>
          <w:sz w:val="20"/>
          <w:szCs w:val="20"/>
          <w:color w:val="auto"/>
        </w:rPr>
      </w:pPr>
    </w:p>
    <w:p>
      <w:pPr>
        <w:ind w:firstLine="393"/>
        <w:spacing w:after="0" w:line="262" w:lineRule="auto"/>
        <w:rPr>
          <w:sz w:val="20"/>
          <w:szCs w:val="20"/>
          <w:color w:val="auto"/>
        </w:rPr>
      </w:pPr>
      <w:r>
        <w:rPr>
          <w:rFonts w:ascii="Times New Roman" w:cs="Times New Roman" w:eastAsia="Times New Roman" w:hAnsi="Times New Roman"/>
          <w:sz w:val="17"/>
          <w:szCs w:val="17"/>
          <w:color w:val="auto"/>
        </w:rPr>
        <w:t>Net cash provided by (used in) financing activities for 2025, 2024 and 2023 was $(295.9) million, $(259.4) million and $10.7 million, respectively. Net cash used in financing activities for 2025 was primarily due to (1) the repayment of $500.0 million related to the redemption of the 2027 Notes, (2) repayments of $315.0 million under the Senior Credit Facility (as defined below), (3) $8.8 million of financing costs paid in connection with the Amended Credit Agreement (as defined below) and the issuance of the 2031 Notes (as defined below), and (4) $2.1 million in cash paid for shares withheld for payroll taxes resulting from the vesting of employee equity awards, partially offset by (1) proceeds received in connection with the issuance of the 2031 Notes of $400.0 million and (2) borrowings of $130.0 million under the Senior Credit Facility. Net cash used in financing activities for 2024 was primarily due to (1) repayments of $375.0 million under the Senior Credit Facility, (2) $4.8 million in cash paid for shares withheld for payroll taxes resulting from the vesting of employee equity awards, and (3) $3.7 million in cash paid for excise tax on prior year share repurchases, partially offset by borrowings of $125.0 million under the Senior Credit Facility.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Credit Agreement</w:t>
      </w:r>
    </w:p>
    <w:p>
      <w:pPr>
        <w:spacing w:after="0" w:line="241" w:lineRule="exact"/>
        <w:rPr>
          <w:sz w:val="20"/>
          <w:szCs w:val="20"/>
          <w:color w:val="auto"/>
        </w:rPr>
      </w:pPr>
    </w:p>
    <w:p>
      <w:pPr>
        <w:ind w:right="20" w:firstLine="393"/>
        <w:spacing w:after="0" w:line="251" w:lineRule="auto"/>
        <w:rPr>
          <w:sz w:val="20"/>
          <w:szCs w:val="20"/>
          <w:color w:val="auto"/>
        </w:rPr>
      </w:pPr>
      <w:r>
        <w:rPr>
          <w:rFonts w:ascii="Times New Roman" w:cs="Times New Roman" w:eastAsia="Times New Roman" w:hAnsi="Times New Roman"/>
          <w:sz w:val="17"/>
          <w:szCs w:val="17"/>
          <w:color w:val="auto"/>
        </w:rPr>
        <w:t>On February 10, 2023, we entered into the third amendment to our credit agreement (the “Third Amendment”). The Third Amendment (together with the credit agreement, the first amendment and the second amendment, collectively, the “Amended Credit Agreement”) provides for, among other things, an increase to the secured revolving credit facility (the “Senior Credit Facility”) from $400.0 million to $750.0 million. The Senior Credit Facility includes a $125.0 million sublimit for the issuance of letters of credit and a $75.0 million sublimit for swingline loans. On November 5, 2024, we entered into the fourth amendment to our credit agreement (the “Fourth Amendment”) which increased our consolidated net leverage ratio covenant for the year ending December 31, 2025.</w:t>
      </w:r>
    </w:p>
    <w:p>
      <w:pPr>
        <w:spacing w:after="0" w:line="197" w:lineRule="exact"/>
        <w:rPr>
          <w:sz w:val="20"/>
          <w:szCs w:val="20"/>
          <w:color w:val="auto"/>
        </w:rPr>
      </w:pPr>
    </w:p>
    <w:p>
      <w:pPr>
        <w:ind w:right="520" w:firstLine="393"/>
        <w:spacing w:after="0" w:line="281" w:lineRule="auto"/>
        <w:rPr>
          <w:sz w:val="20"/>
          <w:szCs w:val="20"/>
          <w:color w:val="auto"/>
        </w:rPr>
      </w:pPr>
      <w:r>
        <w:rPr>
          <w:rFonts w:ascii="Times New Roman" w:cs="Times New Roman" w:eastAsia="Times New Roman" w:hAnsi="Times New Roman"/>
          <w:sz w:val="17"/>
          <w:szCs w:val="17"/>
          <w:color w:val="auto"/>
        </w:rPr>
        <w:t>On October 6, 2025, the Company entered into the fifth amendment to the New Credit Agreement (the “Fifth Amendment”). The Fifth Amendment (together with the New Credit Agreement, the First Amendment, the Second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Amendment, the Third Amendment, and the Fourth Amendment collectively, the “Amended Credit Agreement”) provides for, among other things, the following: (i) an extension of the maturity date of the Senior Credit Facility to October 6, 2030, (ii) a decrease to the revolving commitments under the Senior Credit Facility to $450.0 million, and (iii) the revision of the Consolidated Net Leverage Ratio (as calculated in accordance with the amended credit agreement) to be no greater than 5.25 to 1.00 through March 31, 2027. Our obligations under the Amended Credit Agreement are secured by substantially all of our assets. The terms of the Amended Credit Agreement, including maturity dates, payment and interest terms, are described in further detail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Notes Payable and Credit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4.000% Senior Notes Due 2029</w:t>
      </w:r>
    </w:p>
    <w:p>
      <w:pPr>
        <w:spacing w:after="0" w:line="254" w:lineRule="exact"/>
        <w:rPr>
          <w:sz w:val="20"/>
          <w:szCs w:val="20"/>
          <w:color w:val="auto"/>
        </w:rPr>
      </w:pPr>
    </w:p>
    <w:p>
      <w:pPr>
        <w:ind w:right="80" w:firstLine="393"/>
        <w:spacing w:after="0" w:line="277" w:lineRule="auto"/>
        <w:rPr>
          <w:sz w:val="20"/>
          <w:szCs w:val="20"/>
          <w:color w:val="auto"/>
        </w:rPr>
      </w:pPr>
      <w:r>
        <w:rPr>
          <w:rFonts w:ascii="Times New Roman" w:cs="Times New Roman" w:eastAsia="Times New Roman" w:hAnsi="Times New Roman"/>
          <w:sz w:val="17"/>
          <w:szCs w:val="17"/>
          <w:color w:val="auto"/>
        </w:rPr>
        <w:t>On October 20, 2020, AMN Healthcare, Inc., a wholly owned subsidiary of the Company, completed the issuance of $350.0 million aggregate principal amount of 4.000% Senior Notes due 2029 (the “2029 Notes”). The 2029 Notes will mature on April 15, 2029. Interest on the 2029 Notes will be payable semi-annually in arrears on April 15 and October 15 of each year, commencing April 15, 2021.</w:t>
      </w:r>
    </w:p>
    <w:p>
      <w:pPr>
        <w:spacing w:after="0" w:line="189" w:lineRule="exact"/>
        <w:rPr>
          <w:sz w:val="20"/>
          <w:szCs w:val="20"/>
          <w:color w:val="auto"/>
        </w:rPr>
      </w:pPr>
    </w:p>
    <w:p>
      <w:pPr>
        <w:ind w:firstLine="393"/>
        <w:spacing w:after="0" w:line="267" w:lineRule="auto"/>
        <w:rPr>
          <w:sz w:val="20"/>
          <w:szCs w:val="20"/>
          <w:color w:val="auto"/>
        </w:rPr>
      </w:pPr>
      <w:r>
        <w:rPr>
          <w:rFonts w:ascii="Times New Roman" w:cs="Times New Roman" w:eastAsia="Times New Roman" w:hAnsi="Times New Roman"/>
          <w:sz w:val="17"/>
          <w:szCs w:val="17"/>
          <w:color w:val="auto"/>
        </w:rPr>
        <w:t>At any time and from time to time on and after April 15, 2024, we will be entitled at our option to redeem all or a portion of the 2029 Notes upon not less than 10 nor more than 60 days’ notice, at the redemption prices (expressed in percentages of principal amount on the redemption date) set forth below, plus accrued and unpaid interest, if any, to (but excluding) the redemption date (subject to the right of holders of record of the 2029 Notes on the relevant record date to receive interest due on the relevant interest payment date), if redeemed during the twelve month period commencing on April 15 of the years set forth below:</w:t>
      </w:r>
    </w:p>
    <w:tbl>
      <w:tblPr>
        <w:tblLayout w:type="fixed"/>
        <w:tblInd w:w="3900" w:type="dxa"/>
        <w:tblCellMar>
          <w:top w:w="0" w:type="dxa"/>
          <w:left w:w="0" w:type="dxa"/>
          <w:bottom w:w="0" w:type="dxa"/>
          <w:right w:w="0" w:type="dxa"/>
        </w:tblCellMar>
      </w:tblPr>
      <w:tr>
        <w:trPr>
          <w:trHeight w:val="145"/>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40" w:type="dxa"/>
            <w:vAlign w:val="bottom"/>
          </w:tcPr>
          <w:p>
            <w:pPr>
              <w:jc w:val="right"/>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91"/>
        </w:trPr>
        <w:tc>
          <w:tcPr>
            <w:tcW w:w="18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102.000 %</w:t>
            </w:r>
          </w:p>
        </w:tc>
        <w:tc>
          <w:tcPr>
            <w:tcW w:w="0" w:type="dxa"/>
            <w:vAlign w:val="bottom"/>
          </w:tcPr>
          <w:p>
            <w:pPr>
              <w:spacing w:after="0"/>
              <w:rPr>
                <w:sz w:val="1"/>
                <w:szCs w:val="1"/>
                <w:color w:val="auto"/>
              </w:rPr>
            </w:pPr>
          </w:p>
        </w:tc>
      </w:tr>
      <w:tr>
        <w:trPr>
          <w:trHeight w:val="223"/>
        </w:trPr>
        <w:tc>
          <w:tcPr>
            <w:tcW w:w="1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101.000 %</w:t>
            </w:r>
          </w:p>
        </w:tc>
        <w:tc>
          <w:tcPr>
            <w:tcW w:w="0" w:type="dxa"/>
            <w:vAlign w:val="bottom"/>
          </w:tcPr>
          <w:p>
            <w:pPr>
              <w:spacing w:after="0"/>
              <w:rPr>
                <w:sz w:val="1"/>
                <w:szCs w:val="1"/>
                <w:color w:val="auto"/>
              </w:rPr>
            </w:pPr>
          </w:p>
        </w:tc>
      </w:tr>
      <w:tr>
        <w:trPr>
          <w:trHeight w:val="22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and thereafter</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80" w:firstLine="393"/>
        <w:spacing w:after="0" w:line="297" w:lineRule="auto"/>
        <w:rPr>
          <w:sz w:val="20"/>
          <w:szCs w:val="20"/>
          <w:color w:val="auto"/>
        </w:rPr>
      </w:pPr>
      <w:r>
        <w:rPr>
          <w:rFonts w:ascii="Times New Roman" w:cs="Times New Roman" w:eastAsia="Times New Roman" w:hAnsi="Times New Roman"/>
          <w:sz w:val="17"/>
          <w:szCs w:val="17"/>
          <w:color w:val="auto"/>
        </w:rPr>
        <w:t>Upon the occurrence of specified change of control events as defined in the indenture governing the 2029 Notes, we must offer to repurchase the 2029 Notes at 101% of the principal amount, plus accrued and unpaid interest, if any, to (but excluding) the purchase date.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indenture governing the 2029 Notes contains covenants that, among other things, restricts our ability to:</w:t>
      </w:r>
    </w:p>
    <w:p>
      <w:pPr>
        <w:spacing w:after="0" w:line="329" w:lineRule="exact"/>
        <w:rPr>
          <w:sz w:val="20"/>
          <w:szCs w:val="20"/>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assets;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on capital stock, make payments in respect of subordinated indebtedness or make other restricted payments;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additional indebtedness or issue preferred stock;</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certain liens;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restrict dividends or other payments from our restricted subsidiaries to us;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merge or transfer all or substantially all of their assets;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 and</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unrestricted subsidiaries.</w:t>
      </w:r>
    </w:p>
    <w:p>
      <w:pPr>
        <w:spacing w:after="0" w:line="250" w:lineRule="exact"/>
        <w:rPr>
          <w:sz w:val="20"/>
          <w:szCs w:val="20"/>
          <w:color w:val="auto"/>
        </w:rPr>
      </w:pPr>
    </w:p>
    <w:p>
      <w:pPr>
        <w:ind w:right="340" w:firstLine="393"/>
        <w:spacing w:after="0" w:line="277" w:lineRule="auto"/>
        <w:rPr>
          <w:sz w:val="20"/>
          <w:szCs w:val="20"/>
          <w:color w:val="auto"/>
        </w:rPr>
      </w:pPr>
      <w:r>
        <w:rPr>
          <w:rFonts w:ascii="Times New Roman" w:cs="Times New Roman" w:eastAsia="Times New Roman" w:hAnsi="Times New Roman"/>
          <w:sz w:val="17"/>
          <w:szCs w:val="17"/>
          <w:color w:val="auto"/>
        </w:rPr>
        <w:t>These covenants are subject to a number of important exceptions and qualifications. The indenture governing the 2029 Notes contains affirmative covenants and events of default that are customary for indentures governing high yield securities. The 2029 Notes and the guarantees are not subject to any registration rights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6.500% Senior Notes Due 2031</w:t>
      </w:r>
    </w:p>
    <w:p>
      <w:pPr>
        <w:spacing w:after="0" w:line="254" w:lineRule="exact"/>
        <w:rPr>
          <w:sz w:val="20"/>
          <w:szCs w:val="20"/>
          <w:color w:val="auto"/>
        </w:rPr>
      </w:pPr>
    </w:p>
    <w:p>
      <w:pPr>
        <w:ind w:right="80" w:firstLine="392"/>
        <w:spacing w:after="0" w:line="277" w:lineRule="auto"/>
        <w:rPr>
          <w:sz w:val="20"/>
          <w:szCs w:val="20"/>
          <w:color w:val="auto"/>
        </w:rPr>
      </w:pPr>
      <w:r>
        <w:rPr>
          <w:rFonts w:ascii="Times New Roman" w:cs="Times New Roman" w:eastAsia="Times New Roman" w:hAnsi="Times New Roman"/>
          <w:sz w:val="17"/>
          <w:szCs w:val="17"/>
          <w:color w:val="auto"/>
        </w:rPr>
        <w:t>On October 6, 2025, AMN Healthcare, Inc., a wholly owned subsidiary of AMN Healthcare Services, Inc. (the “Company”), completed the issuance of $400.0 million aggregate principal amount of 6.500% Senior Notes due 2031 (the “2031 Notes”). The 2031 Notes will mature on January 15, 2031. Interest on the 2031 Notes will be payable semi-annually in arrears on January 15 and July 15 of each year, commencing July 15, 2026.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40" w:firstLine="393"/>
        <w:spacing w:after="0" w:line="269" w:lineRule="auto"/>
        <w:rPr>
          <w:sz w:val="20"/>
          <w:szCs w:val="20"/>
          <w:color w:val="auto"/>
        </w:rPr>
      </w:pPr>
      <w:r>
        <w:rPr>
          <w:rFonts w:ascii="Times New Roman" w:cs="Times New Roman" w:eastAsia="Times New Roman" w:hAnsi="Times New Roman"/>
          <w:sz w:val="17"/>
          <w:szCs w:val="17"/>
          <w:color w:val="auto"/>
        </w:rPr>
        <w:t>At any time and from time to time on and after October 15, 2027, we will be entitled at our option to redeem all or a portion of the 2031 Notes upon not less than 10 nor more than 60 days’ notice, at the redemption prices (expressed in percentages of principal amount on the redemption date) set forth below, plus accrued and unpaid interest, if any, to (but excluding) the redemption date (subject to the right of holders of record of the 2031 Notes on the relevant record date to receive interest due on the relevant interest payment date), if redeemed during the twelve month period commencing on October 15, of the years set forth below:</w:t>
      </w:r>
    </w:p>
    <w:p>
      <w:pPr>
        <w:spacing w:after="0" w:line="200" w:lineRule="exact"/>
        <w:rPr>
          <w:sz w:val="20"/>
          <w:szCs w:val="20"/>
          <w:color w:val="auto"/>
        </w:rPr>
      </w:pPr>
    </w:p>
    <w:p>
      <w:pPr>
        <w:spacing w:after="0" w:line="242" w:lineRule="exact"/>
        <w:rPr>
          <w:sz w:val="20"/>
          <w:szCs w:val="20"/>
          <w:color w:val="auto"/>
        </w:rPr>
      </w:pPr>
    </w:p>
    <w:tbl>
      <w:tblPr>
        <w:tblLayout w:type="fixed"/>
        <w:tblInd w:w="3540" w:type="dxa"/>
        <w:tblCellMar>
          <w:top w:w="0" w:type="dxa"/>
          <w:left w:w="0" w:type="dxa"/>
          <w:bottom w:w="0" w:type="dxa"/>
          <w:right w:w="0" w:type="dxa"/>
        </w:tblCellMar>
      </w:tblPr>
      <w:tr>
        <w:trPr>
          <w:trHeight w:val="185"/>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Redemption Price</w:t>
            </w:r>
          </w:p>
        </w:tc>
      </w:tr>
      <w:tr>
        <w:trPr>
          <w:trHeight w:val="24"/>
        </w:trPr>
        <w:tc>
          <w:tcPr>
            <w:tcW w:w="2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103.250 %</w:t>
            </w: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101.625 %</w:t>
            </w:r>
          </w:p>
        </w:tc>
      </w:tr>
      <w:tr>
        <w:trPr>
          <w:trHeight w:val="22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 and thereafter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100.000 %</w:t>
            </w:r>
          </w:p>
        </w:tc>
      </w:tr>
    </w:tbl>
    <w:p>
      <w:pPr>
        <w:spacing w:after="0" w:line="309" w:lineRule="exact"/>
        <w:rPr>
          <w:sz w:val="20"/>
          <w:szCs w:val="20"/>
          <w:color w:val="auto"/>
        </w:rPr>
      </w:pPr>
    </w:p>
    <w:p>
      <w:pPr>
        <w:jc w:val="both"/>
        <w:ind w:right="120" w:firstLine="393"/>
        <w:spacing w:after="0" w:line="277" w:lineRule="auto"/>
        <w:rPr>
          <w:sz w:val="20"/>
          <w:szCs w:val="20"/>
          <w:color w:val="auto"/>
        </w:rPr>
      </w:pPr>
      <w:r>
        <w:rPr>
          <w:rFonts w:ascii="Times New Roman" w:cs="Times New Roman" w:eastAsia="Times New Roman" w:hAnsi="Times New Roman"/>
          <w:sz w:val="17"/>
          <w:szCs w:val="17"/>
          <w:color w:val="auto"/>
        </w:rPr>
        <w:t>At any time and from time to time prior to October 15, 2027 we may also redeem the 2031 Notes with the net cash proceeds of certain equity offerings in an aggregate principal amount not to exceed 40% of the aggregate principal amount of the 2031 Notes issued, at a redemption price (expressed as a percentage of principal amount) of 106.500% of the principal amount thereof plus accrued and unpaid interest, if any, to (but excluding) the applicable redemption date.</w:t>
      </w:r>
    </w:p>
    <w:p>
      <w:pPr>
        <w:spacing w:after="0" w:line="189" w:lineRule="exact"/>
        <w:rPr>
          <w:sz w:val="20"/>
          <w:szCs w:val="20"/>
          <w:color w:val="auto"/>
        </w:rPr>
      </w:pPr>
    </w:p>
    <w:p>
      <w:pPr>
        <w:ind w:right="180" w:firstLine="393"/>
        <w:spacing w:after="0" w:line="277" w:lineRule="auto"/>
        <w:rPr>
          <w:sz w:val="20"/>
          <w:szCs w:val="20"/>
          <w:color w:val="auto"/>
        </w:rPr>
      </w:pPr>
      <w:r>
        <w:rPr>
          <w:rFonts w:ascii="Times New Roman" w:cs="Times New Roman" w:eastAsia="Times New Roman" w:hAnsi="Times New Roman"/>
          <w:sz w:val="17"/>
          <w:szCs w:val="17"/>
          <w:color w:val="auto"/>
        </w:rPr>
        <w:t>In addition, we may redeem some or all of the 2031 Notes at any time and from time to time prior to October 15, 2027 at a redemption price equal to 100% of the principal amount of the 2031 Notes redeemed, plus accrued and unpaid interest thereon, if any, to (but excluding) the applicable redemption date, plus a “make-whole” premium based on the applicable treasury rate plus 50 basis points.</w:t>
      </w:r>
    </w:p>
    <w:p>
      <w:pPr>
        <w:spacing w:after="0" w:line="189" w:lineRule="exact"/>
        <w:rPr>
          <w:sz w:val="20"/>
          <w:szCs w:val="20"/>
          <w:color w:val="auto"/>
        </w:rPr>
      </w:pPr>
    </w:p>
    <w:p>
      <w:pPr>
        <w:ind w:right="320" w:firstLine="393"/>
        <w:spacing w:after="0" w:line="297" w:lineRule="auto"/>
        <w:rPr>
          <w:sz w:val="20"/>
          <w:szCs w:val="20"/>
          <w:color w:val="auto"/>
        </w:rPr>
      </w:pPr>
      <w:r>
        <w:rPr>
          <w:rFonts w:ascii="Times New Roman" w:cs="Times New Roman" w:eastAsia="Times New Roman" w:hAnsi="Times New Roman"/>
          <w:sz w:val="17"/>
          <w:szCs w:val="17"/>
          <w:color w:val="auto"/>
        </w:rPr>
        <w:t>Upon the occurrence of specified change of control events as defined in the indenture governing the 2031 Notes, we must offer to repurchase the 2031 Notes at 101% of the principal amount, plus accrued and unpaid interest, if any, to (but excluding) the purchase date.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indenture governing the 2031 Notes contains covenants that, among other things, restrict our ability to:</w:t>
      </w:r>
    </w:p>
    <w:p>
      <w:pPr>
        <w:spacing w:after="0" w:line="93" w:lineRule="exact"/>
        <w:rPr>
          <w:sz w:val="20"/>
          <w:szCs w:val="20"/>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assets;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on capital stock, make payments in respect of subordinated indebtedness or make other restricted payments;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additional indebtedness or issue preferred stock;</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certain liens;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restrict dividends or other payments to us;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merge or transfer all or substantially all of their assets;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with affiliates; and</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unrestricted subsidiaries.</w:t>
      </w:r>
    </w:p>
    <w:p>
      <w:pPr>
        <w:spacing w:after="0" w:line="250" w:lineRule="exact"/>
        <w:rPr>
          <w:sz w:val="20"/>
          <w:szCs w:val="20"/>
          <w:color w:val="auto"/>
        </w:rPr>
      </w:pPr>
    </w:p>
    <w:p>
      <w:pPr>
        <w:ind w:right="660" w:firstLine="393"/>
        <w:spacing w:after="0" w:line="277" w:lineRule="auto"/>
        <w:rPr>
          <w:sz w:val="20"/>
          <w:szCs w:val="20"/>
          <w:color w:val="auto"/>
        </w:rPr>
      </w:pPr>
      <w:r>
        <w:rPr>
          <w:rFonts w:ascii="Times New Roman" w:cs="Times New Roman" w:eastAsia="Times New Roman" w:hAnsi="Times New Roman"/>
          <w:sz w:val="17"/>
          <w:szCs w:val="17"/>
          <w:color w:val="auto"/>
        </w:rPr>
        <w:t>These covenants are subject to a number of important exceptions and qualifications. The indenture governing the 2031 Notes contains affirmative covenants and events of default that are customary for indentures governing high yield securities. The 2031 Notes and the guarantees are not subject to any registration rights agreement.</w:t>
      </w:r>
    </w:p>
    <w:p>
      <w:pPr>
        <w:spacing w:after="0" w:line="189" w:lineRule="exact"/>
        <w:rPr>
          <w:sz w:val="20"/>
          <w:szCs w:val="20"/>
          <w:color w:val="auto"/>
        </w:rPr>
      </w:pPr>
    </w:p>
    <w:p>
      <w:pPr>
        <w:jc w:val="both"/>
        <w:ind w:right="120" w:firstLine="393"/>
        <w:spacing w:after="0" w:line="277" w:lineRule="auto"/>
        <w:rPr>
          <w:sz w:val="20"/>
          <w:szCs w:val="20"/>
          <w:color w:val="auto"/>
        </w:rPr>
      </w:pPr>
      <w:r>
        <w:rPr>
          <w:rFonts w:ascii="Times New Roman" w:cs="Times New Roman" w:eastAsia="Times New Roman" w:hAnsi="Times New Roman"/>
          <w:sz w:val="17"/>
          <w:szCs w:val="17"/>
          <w:color w:val="auto"/>
        </w:rPr>
        <w:t>We used the proceeds from the 2031 Notes, together with borrowings under the Senior Credit Facility and cash generated from operations, (1) to redeem all of our outstanding $500.0 million aggregate principal amount of our 2027 Notes on October 22, 2025, including all accrued and unpaid interest on the 2027 Notes and (2) paid fees and expenses related to the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w:t>
      </w:r>
    </w:p>
    <w:p>
      <w:pPr>
        <w:spacing w:after="0" w:line="176" w:lineRule="exact"/>
        <w:rPr>
          <w:sz w:val="20"/>
          <w:szCs w:val="20"/>
          <w:color w:val="auto"/>
        </w:rPr>
      </w:pPr>
    </w:p>
    <w:p>
      <w:pPr>
        <w:ind w:firstLine="393"/>
        <w:spacing w:after="0" w:line="270" w:lineRule="auto"/>
        <w:rPr>
          <w:sz w:val="20"/>
          <w:szCs w:val="20"/>
          <w:color w:val="auto"/>
        </w:rPr>
      </w:pPr>
      <w:r>
        <w:rPr>
          <w:rFonts w:ascii="Times New Roman" w:cs="Times New Roman" w:eastAsia="Times New Roman" w:hAnsi="Times New Roman"/>
          <w:sz w:val="17"/>
          <w:szCs w:val="17"/>
          <w:color w:val="auto"/>
        </w:rPr>
        <w:t>As of December 31, 2025, we maintained outstanding standby letters of credit totaling $20.8 million as collateral in relation to our workers’ compensation insurance agreements and a corporate office lease agreement. Of the $20.8 million of outstanding letters of credit, we have collateralized approximately $0.7 million in cash and cash equivalents and the remaining approximately $20.2 million is collateralized by the Senior Credit Facility. Outstanding standby letters of credit at December 31, 2024 totaled $20.9 million.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Critical Accounting Policies and Estimates</w:t>
      </w:r>
    </w:p>
    <w:p>
      <w:pPr>
        <w:spacing w:after="0" w:line="178" w:lineRule="exact"/>
        <w:rPr>
          <w:sz w:val="20"/>
          <w:szCs w:val="20"/>
          <w:color w:val="auto"/>
        </w:rPr>
      </w:pPr>
    </w:p>
    <w:p>
      <w:pPr>
        <w:ind w:right="60" w:firstLine="393"/>
        <w:spacing w:after="0" w:line="264" w:lineRule="auto"/>
        <w:rPr>
          <w:sz w:val="20"/>
          <w:szCs w:val="20"/>
          <w:color w:val="auto"/>
        </w:rPr>
      </w:pPr>
      <w:r>
        <w:rPr>
          <w:rFonts w:ascii="Times New Roman" w:cs="Times New Roman" w:eastAsia="Times New Roman" w:hAnsi="Times New Roman"/>
          <w:sz w:val="17"/>
          <w:szCs w:val="17"/>
          <w:color w:val="auto"/>
        </w:rPr>
        <w:t>Our critical accounting policies are those that we believe are both important to the portrayal of our financial condition and results and require our most difficult, subjective or complex judgments, often as a result of the need to make estimates about the effect of matters that are inherently uncertain. The preparation of our consolidated financial statements in conformity with United States generally accepted accounting principles requires us to make estimates and judgments that affect our reported amounts of assets and liabilities, revenue and expenses, and related disclosures of contingent assets and liabilities. On an ongoing basis, we evaluate our estimates and base them on the information that is currently available to us and on various other assumptions that we believe are reasonable under the circumstances. Actual results could vary from these estimates under different assumptions or conditions. We believe that the following critical accounting policies affect the more significant judgments and estimates used in the preparation of our consolidated financial statements: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Goodwill and Indefinite-lived Intangible Assets</w:t>
      </w:r>
    </w:p>
    <w:p>
      <w:pPr>
        <w:spacing w:after="0" w:line="254" w:lineRule="exact"/>
        <w:rPr>
          <w:sz w:val="20"/>
          <w:szCs w:val="20"/>
          <w:color w:val="auto"/>
        </w:rPr>
      </w:pPr>
    </w:p>
    <w:p>
      <w:pPr>
        <w:ind w:right="200" w:firstLine="393"/>
        <w:spacing w:after="0" w:line="265" w:lineRule="auto"/>
        <w:rPr>
          <w:sz w:val="20"/>
          <w:szCs w:val="20"/>
          <w:color w:val="auto"/>
        </w:rPr>
      </w:pPr>
      <w:r>
        <w:rPr>
          <w:rFonts w:ascii="Times New Roman" w:cs="Times New Roman" w:eastAsia="Times New Roman" w:hAnsi="Times New Roman"/>
          <w:sz w:val="17"/>
          <w:szCs w:val="17"/>
          <w:color w:val="auto"/>
        </w:rPr>
        <w:t>Our business acquisitions typically result in the recording of goodwill and other intangible assets. The determination of the fair value of such intangible assets involves the use of appropriate valuation techniques and requires management to make estimates and assumptions that affect our consolidated financial statements. Significant judgments required to estimate the fair values include estimated future cash flows, growth rates, customer attrition rates, brand awareness and discount rates. Changes in these estimates and assumptions could materially affect the determination of fair value for each intangible asset. Management may engage independent third-party specialists to assist in determining the fair values. For intangible assets purchased in a business acquisition, the estimated fair values of the assets received are used to establish their recorded values, which may become impaired in the future.</w:t>
      </w:r>
    </w:p>
    <w:p>
      <w:pPr>
        <w:spacing w:after="0" w:line="200" w:lineRule="exact"/>
        <w:rPr>
          <w:sz w:val="20"/>
          <w:szCs w:val="20"/>
          <w:color w:val="auto"/>
        </w:rPr>
      </w:pPr>
    </w:p>
    <w:p>
      <w:pPr>
        <w:ind w:firstLine="393"/>
        <w:spacing w:after="0" w:line="260" w:lineRule="auto"/>
        <w:rPr>
          <w:sz w:val="20"/>
          <w:szCs w:val="20"/>
          <w:color w:val="auto"/>
        </w:rPr>
      </w:pPr>
      <w:r>
        <w:rPr>
          <w:rFonts w:ascii="Times New Roman" w:cs="Times New Roman" w:eastAsia="Times New Roman" w:hAnsi="Times New Roman"/>
          <w:sz w:val="17"/>
          <w:szCs w:val="17"/>
          <w:color w:val="auto"/>
        </w:rPr>
        <w:t>In accordance with accounting guidance on goodwill and other intangible assets, we perform an annual impairment analysis to assess the recoverability of goodwill and indefinite-lived intangible assets. We assess the impairment of goodwill of our reporting units and indefinite-lived intangible assets annually, or more often if events or changes in circumstances indicate that the carrying amount may not be recoverable. We may first assess qualitative factors to determine whether it is more likely than not that the fair value of a reporting unit is less than its carrying amount. If, after assessing the totality of events and circumstances, we determine that it is more likely than not that the fair value of the reporting unit is greater than its carrying amount, the quantitative impairment test is unnecessary. If the reporting unit does not pass the qualitative assessment, then the reporting unit’s carrying amount is compared to its fair value. The fair values of the reporting units are estimated using market and income approaches. Goodwill is considered impaired if the carrying amount of the reporting unit exceeds its fair value. Application of the goodwill impairment test requires judgment, including the identification of reporting units, assignment of assets and liabilities to reporting units, assignment of goodwill to reporting units, and determination of the fair value of each reporting unit. Valuation techniques consistent with the market approach and income approach are used to measure the fair value of each reporting unit. Significant judgments are required to estimate the fair value of reporting units including estimating future cash flows, and determining appropriate discount rates, growth rates, and other assumptions. Changes in these estimates and assumptions could materially affect the determination of fair value for each reporting unit. We perform our annual impairment test on October 31 of each year. As of December 31, 2025, we do not have any indefinite-lived intangible assets</w:t>
      </w:r>
      <w:r>
        <w:rPr>
          <w:rFonts w:ascii="Times New Roman" w:cs="Times New Roman" w:eastAsia="Times New Roman" w:hAnsi="Times New Roman"/>
          <w:sz w:val="13"/>
          <w:szCs w:val="13"/>
          <w:color w:val="auto"/>
        </w:rPr>
        <w:t>.</w:t>
      </w:r>
    </w:p>
    <w:p>
      <w:pPr>
        <w:spacing w:after="0" w:line="211" w:lineRule="exact"/>
        <w:rPr>
          <w:sz w:val="20"/>
          <w:szCs w:val="20"/>
          <w:color w:val="auto"/>
        </w:rPr>
      </w:pPr>
    </w:p>
    <w:p>
      <w:pPr>
        <w:ind w:right="40" w:firstLine="393"/>
        <w:spacing w:after="0" w:line="264" w:lineRule="auto"/>
        <w:rPr>
          <w:sz w:val="20"/>
          <w:szCs w:val="20"/>
          <w:color w:val="auto"/>
        </w:rPr>
      </w:pPr>
      <w:r>
        <w:rPr>
          <w:rFonts w:ascii="Times New Roman" w:cs="Times New Roman" w:eastAsia="Times New Roman" w:hAnsi="Times New Roman"/>
          <w:sz w:val="17"/>
          <w:szCs w:val="17"/>
          <w:color w:val="auto"/>
        </w:rPr>
        <w:t>During the second quarter of 2025, we performed a quantitative impairment test of our goodwill as of May 31, 2025 and determined that the estimated fair value of the physician and leadership solutions reporting unit was below its respective carrying amount. As a result, we recognized a goodwill impairment loss of $109.5 million in the consolidated financial statements during the second quarter of 2025. In addition, a quantitative test was performed for our technology and workforce solutions reporting unit to allocate a portion of the goodwill fair value balance to the disposal group that was held for sale during the second quarter of 2025. There was no impairment required for the technology and workforce solutions reporting unit as the estimated fair value of the reporting unit exceeded its carrying amount. A quantitative impairment test for our nurse and allied solutions reporting unit was not performed during the second quarter of 2025.</w:t>
      </w: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consider the following assumptions used in the income approach to be significant assumptions in estimating the fair value of our reporting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growth rates and weighted-average cost of capital.</w:t>
      </w:r>
    </w:p>
    <w:p>
      <w:pPr>
        <w:spacing w:after="0" w:line="232" w:lineRule="exact"/>
        <w:rPr>
          <w:sz w:val="20"/>
          <w:szCs w:val="20"/>
          <w:color w:val="auto"/>
        </w:rPr>
      </w:pPr>
    </w:p>
    <w:p>
      <w:pPr>
        <w:ind w:right="160" w:firstLine="393"/>
        <w:spacing w:after="0" w:line="270" w:lineRule="auto"/>
        <w:rPr>
          <w:sz w:val="20"/>
          <w:szCs w:val="20"/>
          <w:color w:val="auto"/>
        </w:rPr>
      </w:pPr>
      <w:r>
        <w:rPr>
          <w:rFonts w:ascii="Times New Roman" w:cs="Times New Roman" w:eastAsia="Times New Roman" w:hAnsi="Times New Roman"/>
          <w:sz w:val="17"/>
          <w:szCs w:val="17"/>
          <w:color w:val="auto"/>
        </w:rPr>
        <w:t>Under the income approach, the discounted cash flow method uses estimated future cash flows, including revenue growth rates, based on our internal forecasts, which are estimated considering our historical experience, expectations of future business performance, and assessment of current and future market conditions. Keeping all other assumptions constant, a change in the projected revenue growth over the forecast period of 50 basis points would have increased or reduced the goodwill impairment loss recognized in the second quarter of 2025 by approximately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393"/>
        <w:spacing w:after="0" w:line="267" w:lineRule="auto"/>
        <w:rPr>
          <w:sz w:val="20"/>
          <w:szCs w:val="20"/>
          <w:color w:val="auto"/>
        </w:rPr>
      </w:pPr>
      <w:r>
        <w:rPr>
          <w:rFonts w:ascii="Times New Roman" w:cs="Times New Roman" w:eastAsia="Times New Roman" w:hAnsi="Times New Roman"/>
          <w:sz w:val="17"/>
          <w:szCs w:val="17"/>
          <w:color w:val="auto"/>
        </w:rPr>
        <w:t>In the discounted cash flow method, each reporting unit’s estimated future cash flows are discounted at a rate that is consistent with a weighted-average cost of capital (WACC), which represents the after-tax rate of return required by a market participant, which is based on observed market return data and company-specific risk factors. The Company engaged a third-party valuation specialist to assist in the determination of the WACC, which ranged from 12.5% to 13.0% for our reporting units in the second quarter impairment test. Keeping all other assumptions constant, a change in WACC of 50 basis points would have increased or reduced the goodwill impairment loss by approximately 9%.</w:t>
      </w:r>
    </w:p>
    <w:p>
      <w:pPr>
        <w:spacing w:after="0" w:line="198" w:lineRule="exact"/>
        <w:rPr>
          <w:sz w:val="20"/>
          <w:szCs w:val="20"/>
          <w:color w:val="auto"/>
        </w:rPr>
      </w:pPr>
    </w:p>
    <w:p>
      <w:pPr>
        <w:jc w:val="both"/>
        <w:ind w:right="80" w:firstLine="393"/>
        <w:spacing w:after="0" w:line="277" w:lineRule="auto"/>
        <w:rPr>
          <w:sz w:val="20"/>
          <w:szCs w:val="20"/>
          <w:color w:val="auto"/>
        </w:rPr>
      </w:pPr>
      <w:r>
        <w:rPr>
          <w:rFonts w:ascii="Times New Roman" w:cs="Times New Roman" w:eastAsia="Times New Roman" w:hAnsi="Times New Roman"/>
          <w:sz w:val="17"/>
          <w:szCs w:val="17"/>
          <w:color w:val="auto"/>
        </w:rPr>
        <w:t>In addition, we performed our annual impairment test of goodwill as of October 31, 2025, using a quantitative assessment for each of our three reporting units. The quantitative assessment concluded that no goodwill impairment existed for the three reporting units as the estimated fair values of the reporting units exceeded their respective carrying amounts.</w:t>
      </w:r>
    </w:p>
    <w:p>
      <w:pPr>
        <w:spacing w:after="0" w:line="189" w:lineRule="exact"/>
        <w:rPr>
          <w:sz w:val="20"/>
          <w:szCs w:val="20"/>
          <w:color w:val="auto"/>
        </w:rPr>
      </w:pPr>
    </w:p>
    <w:p>
      <w:pPr>
        <w:ind w:firstLine="393"/>
        <w:spacing w:after="0" w:line="263" w:lineRule="auto"/>
        <w:rPr>
          <w:sz w:val="20"/>
          <w:szCs w:val="20"/>
          <w:color w:val="auto"/>
        </w:rPr>
      </w:pPr>
      <w:r>
        <w:rPr>
          <w:rFonts w:ascii="Times New Roman" w:cs="Times New Roman" w:eastAsia="Times New Roman" w:hAnsi="Times New Roman"/>
          <w:sz w:val="17"/>
          <w:szCs w:val="17"/>
          <w:color w:val="auto"/>
        </w:rPr>
        <w:t>Similarly, we considered revenue growth rates and WACC to be significant assumptions used in the income approach in estimating the fair value of our reporting units. Keeping all other assumptions constant, a change in the projected revenue growth over the forecast period of 50 basis points would have increased or reduced the excess fair value over the carrying value by approximately 2% for the nurse and allied solutions reporting unit, approximately 1% for the physician and leadership solutions reporting unit, and approximately 8% for the technology and workforce solutions reporting unit. The Company engaged a third-party valuation specialist to assist in the determination of the WACC, which ranged from 11.0% to 14.0% for our reporting units in the most recent impairment test. Keeping all other assumptions constant, a change in WACC of 50 basis points would have increased or reduced the excess fair value over the carrying value by approximately 15% for the nurse and allied solutions reporting unit, approximately 14% for the physician and leadership solutions reporting unit, and approximately 23% for the technology and workforce solutions reporting unit.</w:t>
      </w:r>
    </w:p>
    <w:p>
      <w:pPr>
        <w:spacing w:after="0" w:line="201" w:lineRule="exact"/>
        <w:rPr>
          <w:sz w:val="20"/>
          <w:szCs w:val="20"/>
          <w:color w:val="auto"/>
        </w:rPr>
      </w:pPr>
    </w:p>
    <w:p>
      <w:pPr>
        <w:ind w:right="20" w:firstLine="393"/>
        <w:spacing w:after="0" w:line="267" w:lineRule="auto"/>
        <w:rPr>
          <w:sz w:val="20"/>
          <w:szCs w:val="20"/>
          <w:color w:val="auto"/>
        </w:rPr>
      </w:pPr>
      <w:r>
        <w:rPr>
          <w:rFonts w:ascii="Times New Roman" w:cs="Times New Roman" w:eastAsia="Times New Roman" w:hAnsi="Times New Roman"/>
          <w:sz w:val="17"/>
          <w:szCs w:val="17"/>
          <w:color w:val="auto"/>
        </w:rPr>
        <w:t>Intangible assets with estimable useful lives are required to be amortized over their respective estimated useful lives and reviewed for impairment whenever events or changes in circumstances indicate that the carrying amount may not be recoverable. An impairment evaluation is based on an undiscounted cash flow analysis of the asset group, which is the lowest level at which cash flows of the long-lived assets are largely independent of other groups of assets and liabilities. If the asset group’s undiscounted cash flows are less than its carrying amount, the asset group’s fair value is measured. An impairment is recognized if the carrying amount of the asset group exceeds the fair value of the asset group.</w:t>
      </w:r>
    </w:p>
    <w:p>
      <w:pPr>
        <w:spacing w:after="0" w:line="198" w:lineRule="exact"/>
        <w:rPr>
          <w:sz w:val="20"/>
          <w:szCs w:val="20"/>
          <w:color w:val="auto"/>
        </w:rPr>
      </w:pPr>
    </w:p>
    <w:p>
      <w:pPr>
        <w:ind w:right="20" w:firstLine="393"/>
        <w:spacing w:after="0" w:line="267" w:lineRule="auto"/>
        <w:rPr>
          <w:sz w:val="20"/>
          <w:szCs w:val="20"/>
          <w:color w:val="auto"/>
        </w:rPr>
      </w:pPr>
      <w:r>
        <w:rPr>
          <w:rFonts w:ascii="Times New Roman" w:cs="Times New Roman" w:eastAsia="Times New Roman" w:hAnsi="Times New Roman"/>
          <w:sz w:val="17"/>
          <w:szCs w:val="17"/>
          <w:color w:val="auto"/>
        </w:rPr>
        <w:t>We assess potential impairments to long-lived assets when there is evidence that events or changes in circumstances indicate that the carrying amount of an asset or asset group may not be recovered. Our judgments regarding the existence of impairment indicators and future cash flows related to long-lived assets are based on operational performance of our businesses, market conditions and other factors. Although there are inherent uncertainties in this assessment process, the estimates and assumptions we use, including estimates of future cash flows, volumes, market penetration and discount rates, are consistent with our internal planning.</w:t>
      </w:r>
    </w:p>
    <w:p>
      <w:pPr>
        <w:spacing w:after="0" w:line="198" w:lineRule="exact"/>
        <w:rPr>
          <w:sz w:val="20"/>
          <w:szCs w:val="20"/>
          <w:color w:val="auto"/>
        </w:rPr>
      </w:pPr>
    </w:p>
    <w:p>
      <w:pPr>
        <w:ind w:right="220" w:firstLine="393"/>
        <w:spacing w:after="0" w:line="265" w:lineRule="auto"/>
        <w:rPr>
          <w:sz w:val="20"/>
          <w:szCs w:val="20"/>
          <w:color w:val="auto"/>
        </w:rPr>
      </w:pPr>
      <w:r>
        <w:rPr>
          <w:rFonts w:ascii="Times New Roman" w:cs="Times New Roman" w:eastAsia="Times New Roman" w:hAnsi="Times New Roman"/>
          <w:sz w:val="17"/>
          <w:szCs w:val="17"/>
          <w:color w:val="auto"/>
        </w:rPr>
        <w:t>Although the accounting guidance does not require impairment testing of long-lived assets in a reporting unit that is tested for goodwill impairment, we assess whether the related circumstances result in evidence that the carrying amounts of our long-lived assets may not be recoverable. As such, prior to the quantitative impairment test of our goodwill as of May 31, 2025, we determined the carrying amounts of the customer relationships intangible assets of the revenue cycle solutions business (within the nurse and allied solutions segment) was not recoverable. As a result, we recognized an impairment loss on the customer relationships intangible assets of $18.3 million during the second quarter of 2025. Keeping all other assumptions constant, a change in WACC and projected revenue growth of 50 basis points would have increased or reduced the impairment loss by approximately 3% and 1%, respectively.</w:t>
      </w:r>
    </w:p>
    <w:p>
      <w:pPr>
        <w:spacing w:after="0" w:line="200" w:lineRule="exact"/>
        <w:rPr>
          <w:sz w:val="20"/>
          <w:szCs w:val="20"/>
          <w:color w:val="auto"/>
        </w:rPr>
      </w:pPr>
    </w:p>
    <w:p>
      <w:pPr>
        <w:ind w:right="180" w:firstLine="393"/>
        <w:spacing w:after="0" w:line="277" w:lineRule="auto"/>
        <w:rPr>
          <w:sz w:val="20"/>
          <w:szCs w:val="20"/>
          <w:color w:val="auto"/>
        </w:rPr>
      </w:pPr>
      <w:r>
        <w:rPr>
          <w:rFonts w:ascii="Times New Roman" w:cs="Times New Roman" w:eastAsia="Times New Roman" w:hAnsi="Times New Roman"/>
          <w:sz w:val="17"/>
          <w:szCs w:val="17"/>
          <w:color w:val="auto"/>
        </w:rPr>
        <w:t>Prior to the quantitative impairment test of our goodwill as of October 31, 2025, we evaluated the recoverability of the carrying amounts of asset groups within the nurse and allied solutions and physician and leadership solutions reporting units and determined that the undiscounted cash flows for all the asset groups tested were above their respective carrying amounts. Therefore, no impairment loss on our long-lived assets was recognized.</w:t>
      </w:r>
    </w:p>
    <w:p>
      <w:pPr>
        <w:spacing w:after="0" w:line="189" w:lineRule="exact"/>
        <w:rPr>
          <w:sz w:val="20"/>
          <w:szCs w:val="20"/>
          <w:color w:val="auto"/>
        </w:rPr>
      </w:pPr>
    </w:p>
    <w:p>
      <w:pPr>
        <w:ind w:right="160" w:firstLine="393"/>
        <w:spacing w:after="0" w:line="277" w:lineRule="auto"/>
        <w:rPr>
          <w:sz w:val="20"/>
          <w:szCs w:val="20"/>
          <w:color w:val="auto"/>
        </w:rPr>
      </w:pPr>
      <w:r>
        <w:rPr>
          <w:rFonts w:ascii="Times New Roman" w:cs="Times New Roman" w:eastAsia="Times New Roman" w:hAnsi="Times New Roman"/>
          <w:sz w:val="17"/>
          <w:szCs w:val="17"/>
          <w:color w:val="auto"/>
        </w:rPr>
        <w:t>If these estimates or their related assumptions change in the future, we may be required to record an impairment loss on all or a portion of our long-lived assets. Furthermore, we cannot predict the occurrence of future impairment-triggering events nor the impact such events might have on our reported asset values. Future events could cause us to conclude that impairment indicators exist and that long-lived assets are impaired.</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Professional Liability Reserve</w:t>
      </w:r>
    </w:p>
    <w:p>
      <w:pPr>
        <w:spacing w:after="0" w:line="189" w:lineRule="exact"/>
        <w:rPr>
          <w:sz w:val="20"/>
          <w:szCs w:val="20"/>
          <w:color w:val="auto"/>
        </w:rPr>
      </w:pPr>
    </w:p>
    <w:p>
      <w:pPr>
        <w:jc w:val="both"/>
        <w:ind w:right="320" w:firstLine="393"/>
        <w:spacing w:after="0" w:line="277" w:lineRule="auto"/>
        <w:rPr>
          <w:sz w:val="20"/>
          <w:szCs w:val="20"/>
          <w:color w:val="auto"/>
        </w:rPr>
      </w:pPr>
      <w:r>
        <w:rPr>
          <w:rFonts w:ascii="Times New Roman" w:cs="Times New Roman" w:eastAsia="Times New Roman" w:hAnsi="Times New Roman"/>
          <w:sz w:val="17"/>
          <w:szCs w:val="17"/>
          <w:color w:val="auto"/>
        </w:rPr>
        <w:t>We determine the adequacy of our accrual for professional liability by evaluating our historical experience and trends, loss reserves established by our insurance carriers, management and third-party administrators, and our independent actuarial studies. We obtain actuarial studies on a semi-annual basis to assist us in determining the adequacy of our accrual. For periods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between the actuarial studies, we record accruals based on loss rates provided in the most recent actuarial study and management’s review of loss history. Expense recognized for accruals (inclusive of actuarial-based adjustments) was $18.9 million, $7.8 million and $5.5 million for the years ended December 31, 2025, 2024 and 2023, respectively.</w:t>
      </w:r>
    </w:p>
    <w:p>
      <w:pPr>
        <w:spacing w:after="0" w:line="189" w:lineRule="exact"/>
        <w:rPr>
          <w:sz w:val="20"/>
          <w:szCs w:val="20"/>
          <w:color w:val="auto"/>
        </w:rPr>
      </w:pPr>
    </w:p>
    <w:p>
      <w:pPr>
        <w:ind w:right="100" w:firstLine="393"/>
        <w:spacing w:after="0" w:line="277" w:lineRule="auto"/>
        <w:rPr>
          <w:sz w:val="20"/>
          <w:szCs w:val="20"/>
          <w:color w:val="auto"/>
        </w:rPr>
      </w:pPr>
      <w:r>
        <w:rPr>
          <w:rFonts w:ascii="Times New Roman" w:cs="Times New Roman" w:eastAsia="Times New Roman" w:hAnsi="Times New Roman"/>
          <w:sz w:val="17"/>
          <w:szCs w:val="17"/>
          <w:color w:val="auto"/>
        </w:rPr>
        <w:t>Our accrual for professional liability includes provisions for estimated incurred but not yet reported (“IBNR”) losses and known claims (“case reserves”), as well as losses covered by excess insurance carriers (“excess liability”). The following table presents the case reserves, IBNR losses and excess liability as estimated by the most recently obtained actuarial study that make up our accrual for professional liability as of December 31, 2025 and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r>
      <w:tr>
        <w:trPr>
          <w:trHeight w:val="197"/>
        </w:trPr>
        <w:tc>
          <w:tcPr>
            <w:tcW w:w="7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17"/>
                <w:szCs w:val="17"/>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5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75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Case reserves </w:t>
            </w:r>
            <w:r>
              <w:rPr>
                <w:rFonts w:ascii="Times New Roman" w:cs="Times New Roman" w:eastAsia="Times New Roman" w:hAnsi="Times New Roman"/>
                <w:sz w:val="22"/>
                <w:szCs w:val="22"/>
                <w:color w:val="auto"/>
                <w:vertAlign w:val="superscript"/>
              </w:rPr>
              <w:t>(1)</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11,590</w:t>
            </w:r>
          </w:p>
        </w:tc>
      </w:tr>
      <w:tr>
        <w:trPr>
          <w:trHeight w:val="223"/>
        </w:trPr>
        <w:tc>
          <w:tcPr>
            <w:tcW w:w="758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IBNR losses </w:t>
            </w:r>
            <w:r>
              <w:rPr>
                <w:rFonts w:ascii="Times New Roman" w:cs="Times New Roman" w:eastAsia="Times New Roman" w:hAnsi="Times New Roman"/>
                <w:sz w:val="22"/>
                <w:szCs w:val="22"/>
                <w:color w:val="auto"/>
                <w:vertAlign w:val="superscript"/>
              </w:rPr>
              <w:t>(1)</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21,823</w:t>
            </w:r>
          </w:p>
        </w:tc>
      </w:tr>
      <w:tr>
        <w:trPr>
          <w:trHeight w:val="223"/>
        </w:trPr>
        <w:tc>
          <w:tcPr>
            <w:tcW w:w="7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Excess liability </w:t>
            </w:r>
            <w:r>
              <w:rPr>
                <w:rFonts w:ascii="Times New Roman" w:cs="Times New Roman" w:eastAsia="Times New Roman" w:hAnsi="Times New Roman"/>
                <w:sz w:val="22"/>
                <w:szCs w:val="22"/>
                <w:color w:val="auto"/>
                <w:vertAlign w:val="superscript"/>
              </w:rPr>
              <w:t>(2)</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12,618</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13,289</w:t>
            </w: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accrual</w:t>
            </w: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53,939</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46,702</w:t>
            </w: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00" w:hanging="195"/>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case reserves and estimated IBNR losses are presented net of excess liability.</w:t>
      </w:r>
    </w:p>
    <w:p>
      <w:pPr>
        <w:spacing w:after="0" w:line="1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accrual for losses recoverable from excess insurance carriers is recorded on the consolidated balance sheets with a corresponding recoverable asset.</w:t>
      </w:r>
    </w:p>
    <w:p>
      <w:pPr>
        <w:spacing w:after="0" w:line="234" w:lineRule="exact"/>
        <w:rPr>
          <w:sz w:val="20"/>
          <w:szCs w:val="20"/>
          <w:color w:val="auto"/>
        </w:rPr>
      </w:pPr>
    </w:p>
    <w:p>
      <w:pPr>
        <w:ind w:right="40" w:firstLine="393"/>
        <w:spacing w:after="0" w:line="267" w:lineRule="auto"/>
        <w:rPr>
          <w:sz w:val="20"/>
          <w:szCs w:val="20"/>
          <w:color w:val="auto"/>
        </w:rPr>
      </w:pPr>
      <w:r>
        <w:rPr>
          <w:rFonts w:ascii="Times New Roman" w:cs="Times New Roman" w:eastAsia="Times New Roman" w:hAnsi="Times New Roman"/>
          <w:sz w:val="17"/>
          <w:szCs w:val="17"/>
          <w:color w:val="auto"/>
        </w:rPr>
        <w:t>We determine estimated IBNR losses by developing our historical loss data to its ultimate level (“ultimate losses”) and subtracting incurred losses to date; the remainder is IBNR losses. We determine ultimate losses through the use of several actuarial methods, including (but not limited to) loss development methods and Bornhuetter-Ferguson method. These methods use our specific historical claims data related to paid losses and loss adjustment expenses, historical and current case reserves, reported and closed claim counts, and industry and other data. The actuarial assumptions used in the aforementioned methods include paid and incurred loss development patterns, our growth and mix of business, inflation, law changes, and claim frequency and severity trends.</w:t>
      </w:r>
    </w:p>
    <w:p>
      <w:pPr>
        <w:spacing w:after="0" w:line="198" w:lineRule="exact"/>
        <w:rPr>
          <w:sz w:val="20"/>
          <w:szCs w:val="20"/>
          <w:color w:val="auto"/>
        </w:rPr>
      </w:pPr>
    </w:p>
    <w:p>
      <w:pPr>
        <w:ind w:firstLine="393"/>
        <w:spacing w:after="0" w:line="264" w:lineRule="auto"/>
        <w:rPr>
          <w:sz w:val="20"/>
          <w:szCs w:val="20"/>
          <w:color w:val="auto"/>
        </w:rPr>
      </w:pPr>
      <w:r>
        <w:rPr>
          <w:rFonts w:ascii="Times New Roman" w:cs="Times New Roman" w:eastAsia="Times New Roman" w:hAnsi="Times New Roman"/>
          <w:sz w:val="17"/>
          <w:szCs w:val="17"/>
          <w:color w:val="auto"/>
        </w:rPr>
        <w:t>We consider the frequency and severity of claims to be significant assumptions in estimating our accrual for professional liability. A 10% change in the expected frequency is within a reasonable range of possibilities and would increase or reduce the accrual estimate by approximately $2.0 million. A 10% change in the expected claim severity is within a reasonable range of possibilities and would increase or reduce the accrual estimate by approximately $5.0 million. Additionally, the average time period between the occurrence and final resolution of our professional liability claims is approximately 5 years; however, the facts and circumstances of individual claims could result in a timeframe that significantly varies from this average. The ultimate settlements of our professional liability claims may vary significantly from our estimates if future changes in claim frequency or severity differ from historical trends and actuarial assumptions, which could have a material effect on our consolidated financial condition or results of operations.</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w:t>
      </w:r>
    </w:p>
    <w:p>
      <w:pPr>
        <w:spacing w:after="0" w:line="189" w:lineRule="exact"/>
        <w:rPr>
          <w:sz w:val="20"/>
          <w:szCs w:val="20"/>
          <w:color w:val="auto"/>
        </w:rPr>
      </w:pPr>
    </w:p>
    <w:p>
      <w:pPr>
        <w:ind w:right="20" w:firstLine="393"/>
        <w:spacing w:after="0" w:line="265" w:lineRule="auto"/>
        <w:rPr>
          <w:sz w:val="20"/>
          <w:szCs w:val="20"/>
          <w:color w:val="auto"/>
        </w:rPr>
      </w:pPr>
      <w:r>
        <w:rPr>
          <w:rFonts w:ascii="Times New Roman" w:cs="Times New Roman" w:eastAsia="Times New Roman" w:hAnsi="Times New Roman"/>
          <w:sz w:val="17"/>
          <w:szCs w:val="17"/>
          <w:color w:val="auto"/>
        </w:rPr>
        <w:t>We are involved in various lawsuits, claims, investigations, and proceedings that arise in the ordinary course of business. These matters typically relate to professional liability, tax, compensation, contract, competitor disputes and employee-related matters and include individual and class action lawsuits, as well as inquiries and investigations by governmental agencies regarding the Company’s employment and compensation practices. Additionally, some of our clients may also become subject to claims, governmental inquiries and investigations and legal actions relating to services provided by our healthcare professionals. From time to time, and depending upon the particular facts and circumstances, we may be subject to indemnification obligations under our contracts with such clients relating to these matters.</w:t>
      </w:r>
    </w:p>
    <w:p>
      <w:pPr>
        <w:spacing w:after="0" w:line="200" w:lineRule="exact"/>
        <w:rPr>
          <w:sz w:val="20"/>
          <w:szCs w:val="20"/>
          <w:color w:val="auto"/>
        </w:rPr>
      </w:pPr>
    </w:p>
    <w:p>
      <w:pPr>
        <w:ind w:right="40" w:firstLine="393"/>
        <w:spacing w:after="0" w:line="262" w:lineRule="auto"/>
        <w:rPr>
          <w:sz w:val="20"/>
          <w:szCs w:val="20"/>
          <w:color w:val="auto"/>
        </w:rPr>
      </w:pPr>
      <w:r>
        <w:rPr>
          <w:rFonts w:ascii="Times New Roman" w:cs="Times New Roman" w:eastAsia="Times New Roman" w:hAnsi="Times New Roman"/>
          <w:sz w:val="17"/>
          <w:szCs w:val="17"/>
          <w:color w:val="auto"/>
        </w:rPr>
        <w:t>We cannot predict with assurance the outcome of claims brought against us. Certain of the above-referenced matters may include speculative claims for substantial or indeterminate amounts of damages. We record a liability when we believe that it is both probable that a loss has been incurred and the amount can be reasonably estimated. In assessing the probability of loss and the estimated amount, we consider the following factors, among others: (a) the nature of the matter and any related facts, circumstances and data; (b) the progress of the case; (c) the opinions or views of legal counsel and other advisers; (d) our experience, and the experience of other entities, in similar cases; (e) how we intend to respond to the matter; and (f) reasonable settlement values based on the foregoing factors. Significant judgment is required to determine both probability and the estimated amount and the final outcome may ultimately be materially different. Where a range of loss can be reasonably estimated with no best estimate in the range, we record the minimum estimated liability. We review these provisions at least quarterly and adjust these provisions accordingly to reflect the impact of negotiations, settlements, rulings, advice of legal counsel, and updated information. We generally record changes in accruals related to legal matters in selling, general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color w:val="auto"/>
        </w:rPr>
        <w:t>administrative expenses in the consolidated statements of comprehensive income (loss). The most significant matters for which the Company has established accruals in connection with loss contingencies are class and representative actions related to wage and hour claims under California and Federal law.</w:t>
      </w:r>
    </w:p>
    <w:p>
      <w:pPr>
        <w:spacing w:after="0" w:line="172" w:lineRule="exact"/>
        <w:rPr>
          <w:sz w:val="20"/>
          <w:szCs w:val="20"/>
          <w:color w:val="auto"/>
        </w:rPr>
      </w:pPr>
    </w:p>
    <w:p>
      <w:pPr>
        <w:ind w:right="60" w:firstLine="393"/>
        <w:spacing w:after="0" w:line="267" w:lineRule="auto"/>
        <w:rPr>
          <w:sz w:val="20"/>
          <w:szCs w:val="20"/>
          <w:color w:val="auto"/>
        </w:rPr>
      </w:pPr>
      <w:r>
        <w:rPr>
          <w:rFonts w:ascii="Times New Roman" w:cs="Times New Roman" w:eastAsia="Times New Roman" w:hAnsi="Times New Roman"/>
          <w:sz w:val="17"/>
          <w:szCs w:val="17"/>
          <w:color w:val="auto"/>
        </w:rPr>
        <w:t>We believe that the amount or estimable range of reasonably possible loss beyond the accruals that we have established, will not, either individually or in the aggregate, have a material adverse effect on our business, consolidated financial position, results of operations, or cash flows with respect to loss contingencies for legal and other contingencies as of December 31, 2025. However, the outcome of litigation is inherently uncertain. Therefore, if one or more of these legal matters were resolved against us for amounts in excess of management’s expectations, our results of operations and financial condition, including in a particular reporting period, could be materially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Pronouncements</w:t>
      </w:r>
    </w:p>
    <w:p>
      <w:pPr>
        <w:spacing w:after="0" w:line="152" w:lineRule="exact"/>
        <w:rPr>
          <w:sz w:val="20"/>
          <w:szCs w:val="20"/>
          <w:color w:val="auto"/>
        </w:rPr>
      </w:pPr>
    </w:p>
    <w:p>
      <w:pPr>
        <w:ind w:right="120" w:firstLine="393"/>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The guidance requires public entities to disclose, in the notes to the financial statement, a disaggregation of certain expense categories that are included within the line items presented on the face of income statements, on an annual and interim basis. This standard is effective on either a prospective or retrospective basis for fiscal years beginning after December 15, 2026 and interim periods within fiscal years beginning after December 15, 2027, with early adoption permitted. We are currently evaluating the impact of adopting this standard on our disclosures.</w:t>
      </w:r>
    </w:p>
    <w:p>
      <w:pPr>
        <w:spacing w:after="0" w:line="93" w:lineRule="exact"/>
        <w:rPr>
          <w:sz w:val="20"/>
          <w:szCs w:val="20"/>
          <w:color w:val="auto"/>
        </w:rPr>
      </w:pPr>
    </w:p>
    <w:p>
      <w:pPr>
        <w:ind w:right="120" w:firstLine="393"/>
        <w:spacing w:after="0" w:line="267" w:lineRule="auto"/>
        <w:rPr>
          <w:sz w:val="20"/>
          <w:szCs w:val="20"/>
          <w:color w:val="auto"/>
        </w:rPr>
      </w:pPr>
      <w:r>
        <w:rPr>
          <w:rFonts w:ascii="Times New Roman" w:cs="Times New Roman" w:eastAsia="Times New Roman" w:hAnsi="Times New Roman"/>
          <w:sz w:val="17"/>
          <w:szCs w:val="17"/>
          <w:color w:val="auto"/>
        </w:rPr>
        <w:t>In July 2025, the FASB issued ASU 2025-05, “Financial Instruments-Credit Losses (Topic 326): Measurement of Credit Losses for Accounts Receivable and Contract Assets”. The guidance provides a practical expedient and an accounting policy election when estimating credit losses on current accounts receivable and current contract assets arising from transactions under ASC 606. An entity is allowed to assume the remaining life of an asset unchanged at the balance sheet date. This standard is effective on a prospective basis for fiscal years beginning after December 15, 2025, with early adoption permitted. We are currently evaluating the impact of adopting this standard on our consolidated financial statements and disclosures.</w:t>
      </w:r>
    </w:p>
    <w:p>
      <w:pPr>
        <w:spacing w:after="0" w:line="106" w:lineRule="exact"/>
        <w:rPr>
          <w:sz w:val="20"/>
          <w:szCs w:val="20"/>
          <w:color w:val="auto"/>
        </w:rPr>
      </w:pPr>
    </w:p>
    <w:p>
      <w:pPr>
        <w:ind w:right="100" w:firstLine="393"/>
        <w:spacing w:after="0" w:line="267"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The new guidance removed prescriptive and sequential software development stages, requires public entities to capitalize internal-use software costs with management authorization and allows the probability that the software will be completed and used for its intended function. This standard is effective on a prospective basis for fiscal years beginning after December 15, 2027, including interim periods within those fiscal years, with early adoption permitted. We are currently evaluating the impact of adopting this standard on our consolidated financial statements and disclosures.</w:t>
      </w:r>
    </w:p>
    <w:p>
      <w:pPr>
        <w:spacing w:after="0" w:line="106" w:lineRule="exact"/>
        <w:rPr>
          <w:sz w:val="20"/>
          <w:szCs w:val="20"/>
          <w:color w:val="auto"/>
        </w:rPr>
      </w:pPr>
    </w:p>
    <w:p>
      <w:pPr>
        <w:ind w:right="80" w:firstLine="393"/>
        <w:spacing w:after="0" w:line="267"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The ASU clarifies interim disclosure requirements and the applicability of Topic 270. The amendment of current guidance provides further clarity about the current interim disclosure requirements. This standard is effective on either a prospective or retrospective basis for fiscal years beginning after December 15, 2027, including interim periods within those fiscal years, with early adoption permitted. We are currently evaluating the impact of adopting this standard on our consolidated financial statements and disclosures.</w:t>
      </w:r>
    </w:p>
    <w:p>
      <w:pPr>
        <w:spacing w:after="0" w:line="93" w:lineRule="exact"/>
        <w:rPr>
          <w:sz w:val="20"/>
          <w:szCs w:val="20"/>
          <w:color w:val="auto"/>
        </w:rPr>
      </w:pPr>
    </w:p>
    <w:p>
      <w:pPr>
        <w:ind w:right="380" w:firstLine="393"/>
        <w:spacing w:after="0" w:line="297" w:lineRule="auto"/>
        <w:rPr>
          <w:sz w:val="20"/>
          <w:szCs w:val="20"/>
          <w:color w:val="auto"/>
        </w:rPr>
      </w:pPr>
      <w:r>
        <w:rPr>
          <w:rFonts w:ascii="Times New Roman" w:cs="Times New Roman" w:eastAsia="Times New Roman" w:hAnsi="Times New Roman"/>
          <w:sz w:val="17"/>
          <w:szCs w:val="17"/>
          <w:color w:val="auto"/>
        </w:rPr>
        <w:t>There have been no other new accounting pronouncements issued but not yet adopted that are expected to materially affect our consolidated financial condition or results of operations.</w:t>
      </w:r>
    </w:p>
    <w:p>
      <w:pPr>
        <w:spacing w:after="0" w:line="16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4"/>
          <w:szCs w:val="24"/>
          <w:b w:val="1"/>
          <w:bCs w:val="1"/>
          <w:color w:val="auto"/>
        </w:rPr>
        <w:t>Item 7A.</w:t>
      </w:r>
      <w:r>
        <w:rPr>
          <w:sz w:val="20"/>
          <w:szCs w:val="20"/>
          <w:color w:val="auto"/>
        </w:rPr>
        <w:tab/>
      </w:r>
      <w:r>
        <w:rPr>
          <w:rFonts w:ascii="Times New Roman" w:cs="Times New Roman" w:eastAsia="Times New Roman" w:hAnsi="Times New Roman"/>
          <w:sz w:val="24"/>
          <w:szCs w:val="24"/>
          <w:b w:val="1"/>
          <w:bCs w:val="1"/>
          <w:i w:val="1"/>
          <w:iCs w:val="1"/>
          <w:color w:val="auto"/>
        </w:rPr>
        <w:t>Quantitative and Qualitative Disclosures about Market Risk</w:t>
      </w:r>
    </w:p>
    <w:p>
      <w:pPr>
        <w:spacing w:after="0" w:line="194" w:lineRule="exact"/>
        <w:rPr>
          <w:sz w:val="20"/>
          <w:szCs w:val="20"/>
          <w:color w:val="auto"/>
        </w:rPr>
      </w:pPr>
    </w:p>
    <w:p>
      <w:pPr>
        <w:ind w:firstLine="393"/>
        <w:spacing w:after="0" w:line="264" w:lineRule="auto"/>
        <w:rPr>
          <w:sz w:val="20"/>
          <w:szCs w:val="20"/>
          <w:color w:val="auto"/>
        </w:rPr>
      </w:pPr>
      <w:r>
        <w:rPr>
          <w:rFonts w:ascii="Times New Roman" w:cs="Times New Roman" w:eastAsia="Times New Roman" w:hAnsi="Times New Roman"/>
          <w:sz w:val="17"/>
          <w:szCs w:val="17"/>
          <w:color w:val="auto"/>
        </w:rPr>
        <w:t>Market risk is the risk of loss arising from adverse changes in market rates and prices, such as interest rates, foreign currency exchange rates and commodity prices. During 2025, our primary exposure to market risk was interest rate risk associated with our variable interest debt instruments and our investment portfolio. A 100 basis point increase in interest rates on our variable rate debt would not have resulted in a material effect on our consolidated financial statements for 2025. A 100 basis point change in interest rates as of December 31, 2025 would not have resulted in a material effect on the fair value of our investment portfolio. For our investments that are classified as available-for-sale, unrealized gains or losses related to fluctuations in market volatility and interest rates are reflected within stockholders’ equity in accumulated other comprehensive income (loss) in the consolidated balance sheets. Such unrealized gains or losses would be realized only if we sell the investments prior to maturity.</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During 2025, we generated substantially all of our revenue in the United States. Accordingly, we believe that our foreign currency risk is immaterial.</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8.</w:t>
      </w:r>
      <w:r>
        <w:rPr>
          <w:sz w:val="20"/>
          <w:szCs w:val="20"/>
          <w:color w:val="auto"/>
        </w:rPr>
        <w:tab/>
      </w:r>
      <w:r>
        <w:rPr>
          <w:rFonts w:ascii="Times New Roman" w:cs="Times New Roman" w:eastAsia="Times New Roman" w:hAnsi="Times New Roman"/>
          <w:sz w:val="24"/>
          <w:szCs w:val="24"/>
          <w:b w:val="1"/>
          <w:bCs w:val="1"/>
          <w:i w:val="1"/>
          <w:iCs w:val="1"/>
          <w:color w:val="auto"/>
        </w:rPr>
        <w:t>Financial Statements and Supplementary Data</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INDEX TO CONSOLIDATED FINANCIAL STATEMENTS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16"/>
        </w:trPr>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6800" w:type="dxa"/>
            <w:vAlign w:val="bottom"/>
            <w:gridSpan w:val="5"/>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37</w:t>
            </w:r>
          </w:p>
        </w:tc>
      </w:tr>
      <w:tr>
        <w:trPr>
          <w:trHeight w:val="203"/>
        </w:trPr>
        <w:tc>
          <w:tcPr>
            <w:tcW w:w="4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2025 and 2024</w:t>
            </w:r>
          </w:p>
        </w:tc>
        <w:tc>
          <w:tcPr>
            <w:tcW w:w="638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39</w:t>
            </w:r>
          </w:p>
        </w:tc>
      </w:tr>
      <w:tr>
        <w:trPr>
          <w:trHeight w:val="203"/>
        </w:trPr>
        <w:tc>
          <w:tcPr>
            <w:tcW w:w="109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years ended December 31, 2025, 2024 and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203"/>
        </w:trPr>
        <w:tc>
          <w:tcPr>
            <w:tcW w:w="738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2025, 2024 and 2023</w:t>
            </w:r>
          </w:p>
        </w:tc>
        <w:tc>
          <w:tcPr>
            <w:tcW w:w="660" w:type="dxa"/>
            <w:vAlign w:val="bottom"/>
            <w:tcBorders>
              <w:top w:val="single" w:sz="8" w:color="0000FF"/>
            </w:tcBorders>
          </w:tcPr>
          <w:p>
            <w:pPr>
              <w:spacing w:after="0"/>
              <w:rPr>
                <w:sz w:val="17"/>
                <w:szCs w:val="17"/>
                <w:color w:val="auto"/>
              </w:rPr>
            </w:pPr>
          </w:p>
        </w:tc>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41</w:t>
            </w:r>
          </w:p>
        </w:tc>
      </w:tr>
      <w:tr>
        <w:trPr>
          <w:trHeight w:val="203"/>
        </w:trPr>
        <w:tc>
          <w:tcPr>
            <w:tcW w:w="6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2024 and 2023</w:t>
            </w:r>
          </w:p>
        </w:tc>
        <w:tc>
          <w:tcPr>
            <w:tcW w:w="41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42</w:t>
            </w:r>
          </w:p>
        </w:tc>
      </w:tr>
      <w:tr>
        <w:trPr>
          <w:trHeight w:val="203"/>
        </w:trPr>
        <w:tc>
          <w:tcPr>
            <w:tcW w:w="109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10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 1 - Summary of Significant Accounting Policies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03"/>
        </w:trPr>
        <w:tc>
          <w:tcPr>
            <w:tcW w:w="32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Note 2 - Acquisitions</w:t>
            </w:r>
          </w:p>
        </w:tc>
        <w:tc>
          <w:tcPr>
            <w:tcW w:w="2240" w:type="dxa"/>
            <w:vAlign w:val="bottom"/>
            <w:tcBorders>
              <w:top w:val="single" w:sz="8" w:color="0000FF"/>
            </w:tcBorders>
            <w:gridSpan w:val="11"/>
          </w:tcPr>
          <w:p>
            <w:pPr>
              <w:spacing w:after="0"/>
              <w:rPr>
                <w:sz w:val="17"/>
                <w:szCs w:val="17"/>
                <w:color w:val="auto"/>
              </w:rPr>
            </w:pPr>
          </w:p>
        </w:tc>
        <w:tc>
          <w:tcPr>
            <w:tcW w:w="68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53</w:t>
            </w:r>
          </w:p>
        </w:tc>
      </w:tr>
      <w:tr>
        <w:trPr>
          <w:trHeight w:val="203"/>
        </w:trPr>
        <w:tc>
          <w:tcPr>
            <w:tcW w:w="320" w:type="dxa"/>
            <w:vAlign w:val="bottom"/>
          </w:tcPr>
          <w:p>
            <w:pPr>
              <w:spacing w:after="0"/>
              <w:rPr>
                <w:sz w:val="17"/>
                <w:szCs w:val="17"/>
                <w:color w:val="auto"/>
              </w:rPr>
            </w:pPr>
          </w:p>
        </w:tc>
        <w:tc>
          <w:tcPr>
            <w:tcW w:w="10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 3 - Sale of Disposal Group</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54</w:t>
            </w: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2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Note 4 - Fair Value Measurement</w:t>
            </w:r>
          </w:p>
        </w:tc>
        <w:tc>
          <w:tcPr>
            <w:tcW w:w="824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54</w:t>
            </w:r>
          </w:p>
        </w:tc>
      </w:tr>
      <w:tr>
        <w:trPr>
          <w:trHeight w:val="203"/>
        </w:trPr>
        <w:tc>
          <w:tcPr>
            <w:tcW w:w="320" w:type="dxa"/>
            <w:vAlign w:val="bottom"/>
          </w:tcPr>
          <w:p>
            <w:pPr>
              <w:spacing w:after="0"/>
              <w:rPr>
                <w:sz w:val="17"/>
                <w:szCs w:val="17"/>
                <w:color w:val="auto"/>
              </w:rPr>
            </w:pPr>
          </w:p>
        </w:tc>
        <w:tc>
          <w:tcPr>
            <w:tcW w:w="3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Note 5 - Goodwill and Identifiable Intangible Assets</w:t>
            </w:r>
          </w:p>
        </w:tc>
        <w:tc>
          <w:tcPr>
            <w:tcW w:w="69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57</w:t>
            </w:r>
          </w:p>
        </w:tc>
      </w:tr>
      <w:tr>
        <w:trPr>
          <w:trHeight w:val="203"/>
        </w:trPr>
        <w:tc>
          <w:tcPr>
            <w:tcW w:w="320" w:type="dxa"/>
            <w:vAlign w:val="bottom"/>
          </w:tcPr>
          <w:p>
            <w:pPr>
              <w:spacing w:after="0"/>
              <w:rPr>
                <w:sz w:val="17"/>
                <w:szCs w:val="17"/>
                <w:color w:val="auto"/>
              </w:rPr>
            </w:pPr>
          </w:p>
        </w:tc>
        <w:tc>
          <w:tcPr>
            <w:tcW w:w="10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 6 - Leases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59</w:t>
            </w: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10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 7 - Balance Sheet Details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203"/>
        </w:trPr>
        <w:tc>
          <w:tcPr>
            <w:tcW w:w="320" w:type="dxa"/>
            <w:vAlign w:val="bottom"/>
          </w:tcPr>
          <w:p>
            <w:pPr>
              <w:spacing w:after="0"/>
              <w:rPr>
                <w:sz w:val="17"/>
                <w:szCs w:val="17"/>
                <w:color w:val="auto"/>
              </w:rPr>
            </w:pPr>
          </w:p>
        </w:tc>
        <w:tc>
          <w:tcPr>
            <w:tcW w:w="21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Note 8 - Income Taxes</w:t>
            </w:r>
          </w:p>
        </w:tc>
        <w:tc>
          <w:tcPr>
            <w:tcW w:w="844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62</w:t>
            </w:r>
          </w:p>
        </w:tc>
      </w:tr>
      <w:tr>
        <w:trPr>
          <w:trHeight w:val="20"/>
        </w:trPr>
        <w:tc>
          <w:tcPr>
            <w:tcW w:w="3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Note 9 - Notes Payable and Credit Agreement</w:t>
            </w:r>
          </w:p>
        </w:tc>
        <w:tc>
          <w:tcPr>
            <w:tcW w:w="73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65</w:t>
            </w:r>
          </w:p>
        </w:tc>
      </w:tr>
      <w:tr>
        <w:trPr>
          <w:trHeight w:val="203"/>
        </w:trPr>
        <w:tc>
          <w:tcPr>
            <w:tcW w:w="320" w:type="dxa"/>
            <w:vAlign w:val="bottom"/>
          </w:tcPr>
          <w:p>
            <w:pPr>
              <w:spacing w:after="0"/>
              <w:rPr>
                <w:sz w:val="17"/>
                <w:szCs w:val="17"/>
                <w:color w:val="auto"/>
              </w:rPr>
            </w:pPr>
          </w:p>
        </w:tc>
        <w:tc>
          <w:tcPr>
            <w:tcW w:w="1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Note 10 - Retirement Plans</w:t>
            </w:r>
          </w:p>
        </w:tc>
        <w:tc>
          <w:tcPr>
            <w:tcW w:w="868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67</w:t>
            </w:r>
          </w:p>
        </w:tc>
      </w:tr>
      <w:tr>
        <w:trPr>
          <w:trHeight w:val="203"/>
        </w:trPr>
        <w:tc>
          <w:tcPr>
            <w:tcW w:w="320" w:type="dxa"/>
            <w:vAlign w:val="bottom"/>
          </w:tcPr>
          <w:p>
            <w:pPr>
              <w:spacing w:after="0"/>
              <w:rPr>
                <w:sz w:val="17"/>
                <w:szCs w:val="17"/>
                <w:color w:val="auto"/>
              </w:rPr>
            </w:pPr>
          </w:p>
        </w:tc>
        <w:tc>
          <w:tcPr>
            <w:tcW w:w="10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 11 - Capital Stock</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67</w:t>
            </w: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Note 12 - Share-Based Compensation</w:t>
            </w:r>
          </w:p>
        </w:tc>
        <w:tc>
          <w:tcPr>
            <w:tcW w:w="79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68</w:t>
            </w:r>
          </w:p>
        </w:tc>
      </w:tr>
      <w:tr>
        <w:trPr>
          <w:trHeight w:val="203"/>
        </w:trPr>
        <w:tc>
          <w:tcPr>
            <w:tcW w:w="320" w:type="dxa"/>
            <w:vAlign w:val="bottom"/>
          </w:tcPr>
          <w:p>
            <w:pPr>
              <w:spacing w:after="0"/>
              <w:rPr>
                <w:sz w:val="17"/>
                <w:szCs w:val="17"/>
                <w:color w:val="auto"/>
              </w:rPr>
            </w:pPr>
          </w:p>
        </w:tc>
        <w:tc>
          <w:tcPr>
            <w:tcW w:w="3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Note 13 - Commitments and Contingencies</w:t>
            </w:r>
          </w:p>
        </w:tc>
        <w:tc>
          <w:tcPr>
            <w:tcW w:w="754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Services,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14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We have audited the accompanying consolidated balance sheets of AMN Healthcare Services, Inc. and subsidiaries (the Company) as of December 31, 2025 and 2024, the related consolidated statements of comprehensive income (loss), stockholders’ equity, and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2025, in conformity with U.S. generally accepted accounting principles.</w:t>
      </w:r>
    </w:p>
    <w:p>
      <w:pPr>
        <w:spacing w:after="0" w:line="11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19, 2026 expressed an unqualified opinion on the effectiveness of the Company’s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61"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Matters</w:t>
      </w:r>
    </w:p>
    <w:p>
      <w:pPr>
        <w:spacing w:after="0" w:line="10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Professional liability reserve</w:t>
      </w:r>
    </w:p>
    <w:p>
      <w:pPr>
        <w:spacing w:after="0" w:line="147" w:lineRule="exact"/>
        <w:rPr>
          <w:sz w:val="20"/>
          <w:szCs w:val="20"/>
          <w:color w:val="auto"/>
        </w:rPr>
      </w:pPr>
    </w:p>
    <w:p>
      <w:pPr>
        <w:ind w:left="640" w:right="320"/>
        <w:spacing w:after="0" w:line="277"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u w:val="single" w:color="auto"/>
          <w:color w:val="0000FF"/>
        </w:rPr>
        <w:t>Notes 1</w:t>
      </w:r>
      <w:r>
        <w:rPr>
          <w:rFonts w:ascii="Times New Roman" w:cs="Times New Roman" w:eastAsia="Times New Roman" w:hAnsi="Times New Roman"/>
          <w:sz w:val="17"/>
          <w:szCs w:val="17"/>
          <w:color w:val="auto"/>
        </w:rPr>
        <w:t xml:space="preserve">(l) and </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auto"/>
        </w:rPr>
        <w:t xml:space="preserve"> to the consolidated financial statements, the Company determines their professional liability accrual by evaluating historical experience, trends, loss reserves, and actuarial studies. As of December 31, 2025, the Company recorded professional liability reserves totaling $53,939 thousand.</w:t>
      </w:r>
    </w:p>
    <w:p>
      <w:pPr>
        <w:spacing w:after="0" w:line="110" w:lineRule="exact"/>
        <w:rPr>
          <w:sz w:val="20"/>
          <w:szCs w:val="20"/>
          <w:color w:val="auto"/>
        </w:rPr>
      </w:pPr>
    </w:p>
    <w:p>
      <w:pPr>
        <w:ind w:left="640" w:right="140"/>
        <w:spacing w:after="0" w:line="270" w:lineRule="auto"/>
        <w:rPr>
          <w:sz w:val="20"/>
          <w:szCs w:val="20"/>
          <w:color w:val="auto"/>
        </w:rPr>
      </w:pPr>
      <w:r>
        <w:rPr>
          <w:rFonts w:ascii="Times New Roman" w:cs="Times New Roman" w:eastAsia="Times New Roman" w:hAnsi="Times New Roman"/>
          <w:sz w:val="17"/>
          <w:szCs w:val="17"/>
          <w:color w:val="auto"/>
        </w:rPr>
        <w:t>We identified the evaluation of the professional liability reserve as a critical audit matter. A high degree of complex and subjective auditor judgment, including the involvement of actuarial professionals with specialized skills and knowledge, was required in evaluating the Company’s actuarial estimates and assumptions, specifically estimates for incurred but not reported claims. Changes in the actuarial estimates or assumptions could have a significant impact on the liability recognized.</w:t>
      </w:r>
    </w:p>
    <w:p>
      <w:pPr>
        <w:spacing w:after="0" w:line="117" w:lineRule="exact"/>
        <w:rPr>
          <w:sz w:val="20"/>
          <w:szCs w:val="20"/>
          <w:color w:val="auto"/>
        </w:rPr>
      </w:pPr>
    </w:p>
    <w:p>
      <w:pPr>
        <w:ind w:left="640" w:right="520"/>
        <w:spacing w:after="0" w:line="270"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process to estimate the professional liability reserve. This included a control related to the selection of ultimate losses used in the estimates for incurred but not reported claims. We tested the key inputs to determine the incurred but not reported estimate. This included testing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640" w:right="120"/>
        <w:spacing w:after="0" w:line="270" w:lineRule="auto"/>
        <w:rPr>
          <w:sz w:val="20"/>
          <w:szCs w:val="20"/>
          <w:color w:val="auto"/>
        </w:rPr>
      </w:pPr>
      <w:r>
        <w:rPr>
          <w:rFonts w:ascii="Times New Roman" w:cs="Times New Roman" w:eastAsia="Times New Roman" w:hAnsi="Times New Roman"/>
          <w:sz w:val="17"/>
          <w:szCs w:val="17"/>
          <w:color w:val="auto"/>
        </w:rPr>
        <w:t>data used by the Company’s actuarial specialist to determine the expected loss rates, specifically claims history used in the actuarial models, for consistency with the actual claims incurred and paid by the Company. We also involved actuarial professionals with specialized skills and knowledge, who assisted in evaluating the Company’s actuarial estimates and assumptions, specifically loss rates, by comparing them to the Company’s historical data, and industry and regulatory trends.</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Goodwill impairment assessments</w:t>
      </w:r>
    </w:p>
    <w:p>
      <w:pPr>
        <w:spacing w:after="0" w:line="161" w:lineRule="exact"/>
        <w:rPr>
          <w:sz w:val="20"/>
          <w:szCs w:val="20"/>
          <w:color w:val="auto"/>
        </w:rPr>
      </w:pPr>
    </w:p>
    <w:p>
      <w:pPr>
        <w:ind w:left="640"/>
        <w:spacing w:after="0" w:line="263"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xml:space="preserve"> to the consolidated financial statements, the goodwill balance as of December 31, 2025 was $755,809 thousand. As discussed in </w:t>
      </w:r>
      <w:r>
        <w:rPr>
          <w:rFonts w:ascii="Times New Roman" w:cs="Times New Roman" w:eastAsia="Times New Roman" w:hAnsi="Times New Roman"/>
          <w:sz w:val="17"/>
          <w:szCs w:val="17"/>
          <w:u w:val="single" w:color="auto"/>
          <w:color w:val="0000FF"/>
        </w:rPr>
        <w:t>Note 1</w:t>
      </w:r>
      <w:r>
        <w:rPr>
          <w:rFonts w:ascii="Times New Roman" w:cs="Times New Roman" w:eastAsia="Times New Roman" w:hAnsi="Times New Roman"/>
          <w:sz w:val="17"/>
          <w:szCs w:val="17"/>
          <w:color w:val="000000"/>
        </w:rPr>
        <w:t>(j) to the consolidated financial statements, the Company assesses goodwill for its reporting units on an annual basis as of October 31, or more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frequently if events or changes in circumstances indicate that the carrying value may not be recoverable. The Company estimates the fair value of its reporting units using the income and market approaches. If the carrying value exceeds the fair value, an impairment loss is recorded. Due to recent declines in forecasted revenue and earnings, the Company performed a quantitative goodwill impairment test as of May 31, 2025 for the physician and leadership solutions reporting unit and recorded an impairment of $109,515 thousand. The Company performed its annual goodwill impairment test as of October 31, 2025 for each of their reporting units. As the fair values of each reporting unit exceeded the carrying values, no further impairment was recorded as a result of the annual impairment test for the year ended December 31, 2025.</w:t>
      </w:r>
    </w:p>
    <w:p>
      <w:pPr>
        <w:spacing w:after="0" w:line="122" w:lineRule="exact"/>
        <w:rPr>
          <w:sz w:val="20"/>
          <w:szCs w:val="20"/>
          <w:color w:val="auto"/>
        </w:rPr>
      </w:pPr>
    </w:p>
    <w:p>
      <w:pPr>
        <w:ind w:left="640" w:right="160"/>
        <w:spacing w:after="0" w:line="267" w:lineRule="auto"/>
        <w:rPr>
          <w:sz w:val="20"/>
          <w:szCs w:val="20"/>
          <w:color w:val="auto"/>
        </w:rPr>
      </w:pPr>
      <w:r>
        <w:rPr>
          <w:rFonts w:ascii="Times New Roman" w:cs="Times New Roman" w:eastAsia="Times New Roman" w:hAnsi="Times New Roman"/>
          <w:sz w:val="17"/>
          <w:szCs w:val="17"/>
          <w:color w:val="auto"/>
        </w:rPr>
        <w:t>We identified the assessment of the recoverability of the carrying value of goodwill for the physician and leadership solutions reporting unit in the interim goodwill impairment test and each reporting unit in the annual goodwill impairment test as a critical audit matter. A high degree of subjective auditor judgment was required to evaluate the forecasted revenue growth rates and discount rates assumptions used to determine the fair value of the reporting units. Changes to these assumptions could have a significant effect on the Company’s assessment of the carrying value of goodwill. Additionally, the audit effort associated with the evaluation of the discount rates required specialized skills and knowledge.</w:t>
      </w:r>
    </w:p>
    <w:p>
      <w:pPr>
        <w:spacing w:after="0" w:line="119" w:lineRule="exact"/>
        <w:rPr>
          <w:sz w:val="20"/>
          <w:szCs w:val="20"/>
          <w:color w:val="auto"/>
        </w:rPr>
      </w:pPr>
    </w:p>
    <w:p>
      <w:pPr>
        <w:ind w:left="640" w:right="160"/>
        <w:spacing w:after="0" w:line="263"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goodwill impairment process. This included controls related to the selection of the forecasted revenue growth rates and the discount rates used to determine the fair value of the reporting units. We evaluated the reasonableness of the forecasted revenue growth rates by comparing them against historical results of the reporting units and industry analyst projections. We involved valuation professionals with specialized skills and knowledge, who assisted in evaluating the reasonableness of the Company’s discount rates by 1) comparing management’s inputs to the discount rates to publicly available market data for comparable entities and assessing the resulting discount rates, and 2) testing the estimate of the reporting units’ fair values using the reporting units’ cash flow assumptions and discount rates, and comparing the result to the Company’s fair value estimate.</w:t>
      </w: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 KPMG LLP</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2000.</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2026</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828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33,972</w:t>
            </w:r>
          </w:p>
        </w:tc>
        <w:tc>
          <w:tcPr>
            <w:tcW w:w="120" w:type="dxa"/>
            <w:vAlign w:val="bottom"/>
          </w:tcPr>
          <w:p>
            <w:pPr>
              <w:spacing w:after="0"/>
              <w:rPr>
                <w:sz w:val="16"/>
                <w:szCs w:val="16"/>
                <w:color w:val="auto"/>
              </w:rPr>
            </w:pPr>
          </w:p>
        </w:tc>
        <w:tc>
          <w:tcPr>
            <w:tcW w:w="4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allowances of $16,580 and $32,421 at December 31, 2025 and 2024, respectively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382,560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437,817</w:t>
            </w:r>
          </w:p>
        </w:tc>
        <w:tc>
          <w:tcPr>
            <w:tcW w:w="0" w:type="dxa"/>
            <w:vAlign w:val="bottom"/>
          </w:tcPr>
          <w:p>
            <w:pPr>
              <w:spacing w:after="0"/>
              <w:rPr>
                <w:sz w:val="1"/>
                <w:szCs w:val="1"/>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subcontractor</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70,481</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22,510</w:t>
            </w: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59,935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53,458</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545,376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594,915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cash equivalents and investments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71,840</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assets, net of accumulated depreciation of $414,797 and $360,795 at December 31, 2025 and 2024, respectively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136,361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186,270</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282,552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258,053</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25,829</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755,809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897,456</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$561,590 and $534,822 at December 31, 2025 and 2024, respectively</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283,526</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381,364</w:t>
            </w:r>
          </w:p>
        </w:tc>
        <w:tc>
          <w:tcPr>
            <w:tcW w:w="0" w:type="dxa"/>
            <w:vAlign w:val="bottom"/>
          </w:tcPr>
          <w:p>
            <w:pPr>
              <w:spacing w:after="0"/>
              <w:rPr>
                <w:sz w:val="1"/>
                <w:szCs w:val="1"/>
                <w:color w:val="auto"/>
              </w:rPr>
            </w:pPr>
          </w:p>
        </w:tc>
      </w:tr>
      <w:tr>
        <w:trPr>
          <w:trHeight w:val="183"/>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2,094,107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2,415,727</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161,968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184,311</w:t>
            </w:r>
          </w:p>
        </w:tc>
        <w:tc>
          <w:tcPr>
            <w:tcW w:w="0" w:type="dxa"/>
            <w:vAlign w:val="bottom"/>
          </w:tcPr>
          <w:p>
            <w:pPr>
              <w:spacing w:after="0"/>
              <w:rPr>
                <w:sz w:val="1"/>
                <w:szCs w:val="1"/>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298,837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287,544</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116,809</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73,930</w:t>
            </w:r>
          </w:p>
        </w:tc>
        <w:tc>
          <w:tcPr>
            <w:tcW w:w="0" w:type="dxa"/>
            <w:vAlign w:val="bottom"/>
          </w:tcPr>
          <w:p>
            <w:pPr>
              <w:spacing w:after="0"/>
              <w:rPr>
                <w:sz w:val="1"/>
                <w:szCs w:val="1"/>
                <w:color w:val="auto"/>
              </w:rPr>
            </w:pPr>
          </w:p>
        </w:tc>
      </w:tr>
      <w:tr>
        <w:trPr>
          <w:trHeight w:val="183"/>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577,614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545,785</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net of unamortized fees and premium</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742,053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845,872</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107,334</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107,450</w:t>
            </w:r>
          </w:p>
        </w:tc>
        <w:tc>
          <w:tcPr>
            <w:tcW w:w="0" w:type="dxa"/>
            <w:vAlign w:val="bottom"/>
          </w:tcPr>
          <w:p>
            <w:pPr>
              <w:spacing w:after="0"/>
              <w:rPr>
                <w:sz w:val="1"/>
                <w:szCs w:val="1"/>
                <w:color w:val="auto"/>
              </w:rPr>
            </w:pPr>
          </w:p>
        </w:tc>
      </w:tr>
      <w:tr>
        <w:trPr>
          <w:trHeight w:val="183"/>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1,452,001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1,709,107</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10,000 shares authorized; none issued and outstanding at December 31, 2025 and 2024</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8280" w:type="dxa"/>
            <w:vAlign w:val="bottom"/>
          </w:tcPr>
          <w:p>
            <w:pPr>
              <w:ind w:left="340"/>
              <w:spacing w:after="0" w:line="131" w:lineRule="exact"/>
              <w:rPr>
                <w:sz w:val="20"/>
                <w:szCs w:val="20"/>
                <w:color w:val="auto"/>
              </w:rPr>
            </w:pPr>
            <w:r>
              <w:rPr>
                <w:rFonts w:ascii="Times New Roman" w:cs="Times New Roman" w:eastAsia="Times New Roman" w:hAnsi="Times New Roman"/>
                <w:sz w:val="14"/>
                <w:szCs w:val="14"/>
                <w:color w:val="auto"/>
              </w:rPr>
              <w:t>Common stock, $0.01 par value; 200,000 shares authorized; 51,054 issued and 38,441 outstanding at December 31, 2025 and 50,692 issued</w:t>
            </w:r>
          </w:p>
        </w:tc>
        <w:tc>
          <w:tcPr>
            <w:tcW w:w="3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and 38,079 outstanding at December 31, 2024</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559,346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528,471</w:t>
            </w:r>
          </w:p>
        </w:tc>
        <w:tc>
          <w:tcPr>
            <w:tcW w:w="0" w:type="dxa"/>
            <w:vAlign w:val="bottom"/>
          </w:tcPr>
          <w:p>
            <w:pPr>
              <w:spacing w:after="0"/>
              <w:rPr>
                <w:sz w:val="1"/>
                <w:szCs w:val="1"/>
                <w:color w:val="auto"/>
              </w:rPr>
            </w:pPr>
          </w:p>
        </w:tc>
      </w:tr>
      <w:tr>
        <w:trPr>
          <w:trHeight w:val="190"/>
        </w:trPr>
        <w:tc>
          <w:tcPr>
            <w:tcW w:w="8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Treasury stock, at cost; 12,613 shares at December 31, 2025 and 2024</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(1,127,043)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(1,127,043)</w:t>
            </w: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1,208,994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1,304,696</w:t>
            </w: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642,106</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706,620</w:t>
            </w:r>
          </w:p>
        </w:tc>
        <w:tc>
          <w:tcPr>
            <w:tcW w:w="0" w:type="dxa"/>
            <w:vAlign w:val="bottom"/>
          </w:tcPr>
          <w:p>
            <w:pPr>
              <w:spacing w:after="0"/>
              <w:rPr>
                <w:sz w:val="1"/>
                <w:szCs w:val="1"/>
                <w:color w:val="auto"/>
              </w:rPr>
            </w:pPr>
          </w:p>
        </w:tc>
      </w:tr>
      <w:tr>
        <w:trPr>
          <w:trHeight w:val="183"/>
        </w:trPr>
        <w:tc>
          <w:tcPr>
            <w:tcW w:w="82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2,094,107</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2,415,727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p>
      <w:pPr>
        <w:spacing w:after="0" w:line="18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2,730,429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3,789,254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1,956,371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2,064,405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2,539,673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919,376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1,249,581</w:t>
            </w:r>
          </w:p>
        </w:tc>
        <w:tc>
          <w:tcPr>
            <w:tcW w:w="0" w:type="dxa"/>
            <w:vAlign w:val="bottom"/>
          </w:tcPr>
          <w:p>
            <w:pPr>
              <w:spacing w:after="0"/>
              <w:rPr>
                <w:sz w:val="1"/>
                <w:szCs w:val="1"/>
                <w:color w:val="auto"/>
              </w:rPr>
            </w:pPr>
          </w:p>
        </w:tc>
      </w:tr>
      <w:tr>
        <w:trPr>
          <w:trHeight w:val="20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593,022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748,436</w:t>
            </w: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 (exclusive of depreciation included in cost of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154,914</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sale of disposal group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Long-lived assets impairment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7,802</w:t>
            </w:r>
          </w:p>
        </w:tc>
        <w:tc>
          <w:tcPr>
            <w:tcW w:w="0" w:type="dxa"/>
            <w:vAlign w:val="bottom"/>
          </w:tcPr>
          <w:p>
            <w:pPr>
              <w:spacing w:after="0"/>
              <w:rPr>
                <w:sz w:val="1"/>
                <w:szCs w:val="1"/>
                <w:color w:val="auto"/>
              </w:rPr>
            </w:pPr>
          </w:p>
        </w:tc>
      </w:tr>
      <w:tr>
        <w:trPr>
          <w:trHeight w:val="216"/>
        </w:trPr>
        <w:tc>
          <w:tcPr>
            <w:tcW w:w="6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829,530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1,022,049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911,152</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338,429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Interest expense, net,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54,140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284,289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73,610</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210,679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Unrealized gains on available-for-sale securities, net,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62"/>
        </w:trPr>
        <w:tc>
          <w:tcPr>
            <w:tcW w:w="67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(95,393)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4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38,188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39,341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2024 and 2023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20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22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501,674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1,240,996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1,043,634</w:t>
            </w: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(428,445)</w:t>
            </w:r>
          </w:p>
        </w:tc>
        <w:tc>
          <w:tcPr>
            <w:tcW w:w="0" w:type="dxa"/>
            <w:vAlign w:val="bottom"/>
          </w:tcPr>
          <w:p>
            <w:pPr>
              <w:spacing w:after="0"/>
              <w:rPr>
                <w:sz w:val="1"/>
                <w:szCs w:val="1"/>
                <w:color w:val="auto"/>
              </w:rPr>
            </w:pPr>
          </w:p>
        </w:tc>
      </w:tr>
      <w:tr>
        <w:trPr>
          <w:trHeight w:val="159"/>
        </w:trPr>
        <w:tc>
          <w:tcPr>
            <w:tcW w:w="23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Equity awards vested, net of shares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(13,151)</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(13,148)</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withheld for taxes</w:t>
            </w: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1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210,679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211,195</w:t>
            </w: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506,543</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(1,127,043)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1,451,675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831,256</w:t>
            </w:r>
          </w:p>
        </w:tc>
        <w:tc>
          <w:tcPr>
            <w:tcW w:w="0" w:type="dxa"/>
            <w:vAlign w:val="bottom"/>
          </w:tcPr>
          <w:p>
            <w:pPr>
              <w:spacing w:after="0"/>
              <w:rPr>
                <w:sz w:val="1"/>
                <w:szCs w:val="1"/>
                <w:color w:val="auto"/>
              </w:rPr>
            </w:pPr>
          </w:p>
        </w:tc>
      </w:tr>
      <w:tr>
        <w:trPr>
          <w:trHeight w:val="159"/>
        </w:trPr>
        <w:tc>
          <w:tcPr>
            <w:tcW w:w="23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Equity awards vested, net of shares</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withheld for taxes</w:t>
            </w: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Shares purchased and issued under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13"/>
                <w:szCs w:val="13"/>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23,317</w:t>
            </w: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(146,567)</w:t>
            </w:r>
          </w:p>
        </w:tc>
        <w:tc>
          <w:tcPr>
            <w:tcW w:w="0" w:type="dxa"/>
            <w:vAlign w:val="bottom"/>
          </w:tcPr>
          <w:p>
            <w:pPr>
              <w:spacing w:after="0"/>
              <w:rPr>
                <w:sz w:val="1"/>
                <w:szCs w:val="1"/>
                <w:color w:val="auto"/>
              </w:rPr>
            </w:pPr>
          </w:p>
        </w:tc>
      </w:tr>
      <w:tr>
        <w:trPr>
          <w:trHeight w:val="205"/>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528,471</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(1,127,043)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1,304,696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706,620</w:t>
            </w:r>
          </w:p>
        </w:tc>
        <w:tc>
          <w:tcPr>
            <w:tcW w:w="0" w:type="dxa"/>
            <w:vAlign w:val="bottom"/>
          </w:tcPr>
          <w:p>
            <w:pPr>
              <w:spacing w:after="0"/>
              <w:rPr>
                <w:sz w:val="1"/>
                <w:szCs w:val="1"/>
                <w:color w:val="auto"/>
              </w:rPr>
            </w:pPr>
          </w:p>
        </w:tc>
      </w:tr>
      <w:tr>
        <w:trPr>
          <w:trHeight w:val="157"/>
        </w:trPr>
        <w:tc>
          <w:tcPr>
            <w:tcW w:w="23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awards vested, net of shares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tcPr>
          <w:p>
            <w:pPr>
              <w:spacing w:after="0"/>
              <w:rPr>
                <w:sz w:val="13"/>
                <w:szCs w:val="13"/>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0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withheld for taxes</w:t>
            </w: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3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Shares purchased and issued under</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30,683</w:t>
            </w:r>
          </w:p>
        </w:tc>
        <w:tc>
          <w:tcPr>
            <w:tcW w:w="1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30,683</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(95,393)</w:t>
            </w:r>
          </w:p>
        </w:tc>
        <w:tc>
          <w:tcPr>
            <w:tcW w:w="0" w:type="dxa"/>
            <w:vAlign w:val="bottom"/>
          </w:tcPr>
          <w:p>
            <w:pPr>
              <w:spacing w:after="0"/>
              <w:rPr>
                <w:sz w:val="1"/>
                <w:szCs w:val="1"/>
                <w:color w:val="auto"/>
              </w:rPr>
            </w:pPr>
          </w:p>
        </w:tc>
      </w:tr>
      <w:tr>
        <w:trPr>
          <w:trHeight w:val="201"/>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559,346</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(1,127,043)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1,208,994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642,106</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p>
      <w:pPr>
        <w:spacing w:after="0" w:line="18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(95,702)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(146,979)</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210,679</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 (inclusive of depreciation included in cost of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160,927</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Non-cash interest expense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Write-off of fees on credit facilities and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Change in fair value of contingent consideration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Increase in allowance for credit losses and sales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23,913</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Provision for 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18,020</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loss (gain) on deferred compensation balances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on disposal or impairment of long-lived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w:t>
            </w: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Gain on sale of disposal group</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loss (gain) on investments in available-for-sale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20" w:type="dxa"/>
            <w:vAlign w:val="bottom"/>
          </w:tcPr>
          <w:p>
            <w:pPr>
              <w:spacing w:after="0"/>
              <w:rPr>
                <w:sz w:val="19"/>
                <w:szCs w:val="19"/>
                <w:color w:val="auto"/>
              </w:rPr>
            </w:pPr>
          </w:p>
        </w:tc>
      </w:tr>
      <w:tr>
        <w:trPr>
          <w:trHeight w:val="223"/>
        </w:trPr>
        <w:tc>
          <w:tcPr>
            <w:tcW w:w="67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Non-cash lease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Changes in assets and liabilities, net of effects from acquisitions: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70,033</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Accounts receivable, subcontractor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151,023</w:t>
            </w:r>
          </w:p>
        </w:tc>
        <w:tc>
          <w:tcPr>
            <w:tcW w:w="20" w:type="dxa"/>
            <w:vAlign w:val="bottom"/>
          </w:tcPr>
          <w:p>
            <w:pPr>
              <w:spacing w:after="0"/>
              <w:rPr>
                <w:sz w:val="19"/>
                <w:szCs w:val="19"/>
                <w:color w:val="auto"/>
              </w:rPr>
            </w:pPr>
          </w:p>
        </w:tc>
      </w:tr>
      <w:tr>
        <w:trPr>
          <w:trHeight w:val="223"/>
        </w:trPr>
        <w:tc>
          <w:tcPr>
            <w:tcW w:w="6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Income taxes receivable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Prepaid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20" w:type="dxa"/>
            <w:vAlign w:val="bottom"/>
          </w:tcPr>
          <w:p>
            <w:pPr>
              <w:spacing w:after="0"/>
              <w:rPr>
                <w:sz w:val="19"/>
                <w:szCs w:val="19"/>
                <w:color w:val="auto"/>
              </w:rPr>
            </w:pPr>
          </w:p>
        </w:tc>
      </w:tr>
      <w:tr>
        <w:trPr>
          <w:trHeight w:val="223"/>
        </w:trPr>
        <w:tc>
          <w:tcPr>
            <w:tcW w:w="6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Other current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w:t>
            </w:r>
          </w:p>
        </w:tc>
        <w:tc>
          <w:tcPr>
            <w:tcW w:w="20" w:type="dxa"/>
            <w:vAlign w:val="bottom"/>
          </w:tcPr>
          <w:p>
            <w:pPr>
              <w:spacing w:after="0"/>
              <w:rPr>
                <w:sz w:val="19"/>
                <w:szCs w:val="19"/>
                <w:color w:val="auto"/>
              </w:rPr>
            </w:pPr>
          </w:p>
        </w:tc>
      </w:tr>
      <w:tr>
        <w:trPr>
          <w:trHeight w:val="223"/>
        </w:trPr>
        <w:tc>
          <w:tcPr>
            <w:tcW w:w="6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(183,517)</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(80,135)</w:t>
            </w:r>
          </w:p>
        </w:tc>
        <w:tc>
          <w:tcPr>
            <w:tcW w:w="20" w:type="dxa"/>
            <w:vAlign w:val="bottom"/>
          </w:tcPr>
          <w:p>
            <w:pPr>
              <w:spacing w:after="0"/>
              <w:rPr>
                <w:sz w:val="19"/>
                <w:szCs w:val="19"/>
                <w:color w:val="auto"/>
              </w:rPr>
            </w:pPr>
          </w:p>
        </w:tc>
      </w:tr>
      <w:tr>
        <w:trPr>
          <w:trHeight w:val="223"/>
        </w:trPr>
        <w:tc>
          <w:tcPr>
            <w:tcW w:w="67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(10,248)</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20" w:type="dxa"/>
            <w:vAlign w:val="bottom"/>
          </w:tcPr>
          <w:p>
            <w:pPr>
              <w:spacing w:after="0"/>
              <w:rPr>
                <w:sz w:val="19"/>
                <w:szCs w:val="19"/>
                <w:color w:val="auto"/>
              </w:rPr>
            </w:pPr>
          </w:p>
        </w:tc>
      </w:tr>
      <w:tr>
        <w:trPr>
          <w:trHeight w:val="216"/>
        </w:trPr>
        <w:tc>
          <w:tcPr>
            <w:tcW w:w="672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269,457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320,418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372,165</w:t>
            </w:r>
          </w:p>
        </w:tc>
        <w:tc>
          <w:tcPr>
            <w:tcW w:w="20" w:type="dxa"/>
            <w:vAlign w:val="bottom"/>
          </w:tcPr>
          <w:p>
            <w:pPr>
              <w:spacing w:after="0"/>
              <w:rPr>
                <w:sz w:val="18"/>
                <w:szCs w:val="18"/>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 and development of fixed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(103,687)</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 of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 and maturity of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9,894</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sale of disposal group</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 of equity investment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Payments to fund deferred compensation plan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(24,902)</w:t>
            </w:r>
          </w:p>
        </w:tc>
        <w:tc>
          <w:tcPr>
            <w:tcW w:w="20" w:type="dxa"/>
            <w:vAlign w:val="bottom"/>
          </w:tcPr>
          <w:p>
            <w:pPr>
              <w:spacing w:after="0"/>
              <w:rPr>
                <w:sz w:val="19"/>
                <w:szCs w:val="19"/>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settlements of company-owned life insurance policies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acquisitions, net of cash and restricted cash received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(292,175)</w:t>
            </w:r>
          </w:p>
        </w:tc>
        <w:tc>
          <w:tcPr>
            <w:tcW w:w="20" w:type="dxa"/>
            <w:vAlign w:val="bottom"/>
          </w:tcPr>
          <w:p>
            <w:pPr>
              <w:spacing w:after="0"/>
              <w:rPr>
                <w:sz w:val="19"/>
                <w:szCs w:val="19"/>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other intangibles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20" w:type="dxa"/>
            <w:vAlign w:val="bottom"/>
          </w:tcPr>
          <w:p>
            <w:pPr>
              <w:spacing w:after="0"/>
              <w:rPr>
                <w:sz w:val="19"/>
                <w:szCs w:val="19"/>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received for working capital settlement of prior year acquisition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16"/>
        </w:trPr>
        <w:tc>
          <w:tcPr>
            <w:tcW w:w="67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(79,938)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(412,493)</w:t>
            </w:r>
          </w:p>
        </w:tc>
        <w:tc>
          <w:tcPr>
            <w:tcW w:w="20" w:type="dxa"/>
            <w:vAlign w:val="bottom"/>
          </w:tcPr>
          <w:p>
            <w:pPr>
              <w:spacing w:after="0"/>
              <w:rPr>
                <w:sz w:val="18"/>
                <w:szCs w:val="18"/>
                <w:color w:val="auto"/>
              </w:rPr>
            </w:pPr>
          </w:p>
        </w:tc>
      </w:tr>
      <w:tr>
        <w:trPr>
          <w:trHeight w:val="819"/>
        </w:trPr>
        <w:tc>
          <w:tcPr>
            <w:tcW w:w="672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42</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67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Payments on revolving credit facility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815,000</w:t>
            </w: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senior notes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Redemption of senior notes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Payments on loans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(424,744)</w:t>
            </w: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Payment of excise tax on share repurchases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Payment of financing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w:t>
            </w: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Earn-out payments to settle contingent consideration liabilities for prior acquisitions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shares withheld for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(13,148)</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40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(295,893)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(259,448)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137,872</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year</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108,273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9,424</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20" w:type="dxa"/>
            <w:vAlign w:val="bottom"/>
            <w:shd w:val="clear" w:color="auto" w:fill="CCEEFF"/>
          </w:tcPr>
          <w:p>
            <w:pPr>
              <w:ind w:left="340"/>
              <w:spacing w:after="0" w:line="137" w:lineRule="exact"/>
              <w:rPr>
                <w:sz w:val="20"/>
                <w:szCs w:val="20"/>
                <w:color w:val="auto"/>
              </w:rPr>
            </w:pPr>
            <w:r>
              <w:rPr>
                <w:rFonts w:ascii="Times New Roman" w:cs="Times New Roman" w:eastAsia="Times New Roman" w:hAnsi="Times New Roman"/>
                <w:sz w:val="15"/>
                <w:szCs w:val="15"/>
                <w:color w:val="auto"/>
              </w:rPr>
              <w:t>Cash paid for interest (net of $229, $606 and $1,229 capitalized in 2025, 2024 and 2023,</w:t>
            </w:r>
          </w:p>
        </w:tc>
        <w:tc>
          <w:tcPr>
            <w:tcW w:w="3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45,106</w:t>
            </w:r>
          </w:p>
        </w:tc>
        <w:tc>
          <w:tcPr>
            <w:tcW w:w="100" w:type="dxa"/>
            <w:vAlign w:val="bottom"/>
            <w:vMerge w:val="restart"/>
            <w:shd w:val="clear" w:color="auto" w:fill="CCEEFF"/>
          </w:tcPr>
          <w:p>
            <w:pPr>
              <w:spacing w:after="0"/>
              <w:rPr>
                <w:sz w:val="11"/>
                <w:szCs w:val="11"/>
                <w:color w:val="auto"/>
              </w:rPr>
            </w:pPr>
          </w:p>
        </w:tc>
        <w:tc>
          <w:tcPr>
            <w:tcW w:w="34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61,034</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48,101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respectively)</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28,152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78,256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Acquisitions: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20" w:type="dxa"/>
            <w:vAlign w:val="bottom"/>
          </w:tcPr>
          <w:p>
            <w:pPr>
              <w:ind w:left="520"/>
              <w:spacing w:after="0" w:line="171" w:lineRule="exact"/>
              <w:rPr>
                <w:sz w:val="20"/>
                <w:szCs w:val="20"/>
                <w:color w:val="auto"/>
              </w:rPr>
            </w:pPr>
            <w:r>
              <w:rPr>
                <w:rFonts w:ascii="Times New Roman" w:cs="Times New Roman" w:eastAsia="Times New Roman" w:hAnsi="Times New Roman"/>
                <w:sz w:val="17"/>
                <w:szCs w:val="17"/>
                <w:color w:val="auto"/>
              </w:rPr>
              <w:t>Fair value of tangible assets acquired in acquisitions, net of cash and restricted cash</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received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48,941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Goodwill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175,770</w:t>
            </w:r>
          </w:p>
        </w:tc>
        <w:tc>
          <w:tcPr>
            <w:tcW w:w="0" w:type="dxa"/>
            <w:vAlign w:val="bottom"/>
          </w:tcPr>
          <w:p>
            <w:pPr>
              <w:spacing w:after="0"/>
              <w:rPr>
                <w:sz w:val="1"/>
                <w:szCs w:val="1"/>
                <w:color w:val="auto"/>
              </w:rPr>
            </w:pPr>
          </w:p>
        </w:tc>
      </w:tr>
      <w:tr>
        <w:trPr>
          <w:trHeight w:val="223"/>
        </w:trPr>
        <w:tc>
          <w:tcPr>
            <w:tcW w:w="67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Intangible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Liabilities 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(24,536)</w:t>
            </w:r>
          </w:p>
        </w:tc>
        <w:tc>
          <w:tcPr>
            <w:tcW w:w="0" w:type="dxa"/>
            <w:vAlign w:val="bottom"/>
          </w:tcPr>
          <w:p>
            <w:pPr>
              <w:spacing w:after="0"/>
              <w:rPr>
                <w:sz w:val="1"/>
                <w:szCs w:val="1"/>
                <w:color w:val="auto"/>
              </w:rPr>
            </w:pPr>
          </w:p>
        </w:tc>
      </w:tr>
      <w:tr>
        <w:trPr>
          <w:trHeight w:val="223"/>
        </w:trPr>
        <w:tc>
          <w:tcPr>
            <w:tcW w:w="6720" w:type="dxa"/>
            <w:vAlign w:val="bottom"/>
          </w:tcPr>
          <w:p>
            <w:pPr>
              <w:ind w:left="1400"/>
              <w:spacing w:after="0"/>
              <w:rPr>
                <w:sz w:val="20"/>
                <w:szCs w:val="20"/>
                <w:color w:val="auto"/>
              </w:rPr>
            </w:pPr>
            <w:r>
              <w:rPr>
                <w:rFonts w:ascii="Times New Roman" w:cs="Times New Roman" w:eastAsia="Times New Roman" w:hAnsi="Times New Roman"/>
                <w:sz w:val="17"/>
                <w:szCs w:val="17"/>
                <w:color w:val="auto"/>
              </w:rPr>
              <w:t>Net cash paid for acquisitions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292,175</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Supplemental disclosures of non-cash investing and financing activities: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 of fixed assets recorded in accounts payable and accrued expenses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3,198</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8,130</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Excise tax payable on share repurchases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Right-of-use assets obtained in exchange for operating lease liabilities</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right="100" w:firstLine="5"/>
        <w:spacing w:after="0" w:line="277" w:lineRule="auto"/>
        <w:tabs>
          <w:tab w:leader="none" w:pos="24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difference between the amount reported for the year ended December 31, 2023 and the corresponding amount presented in the consolidated statements of stockholders’ equity is due to accrued excise tax payable on share repurchases which was recorded within treasury stock. The excise tax was paid during the year ended December 31, 2024.</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2025, 2024 and 2023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65" w:lineRule="exact"/>
        <w:rPr>
          <w:sz w:val="20"/>
          <w:szCs w:val="20"/>
          <w:color w:val="auto"/>
        </w:rPr>
      </w:pPr>
    </w:p>
    <w:p>
      <w:pPr>
        <w:ind w:left="260" w:hanging="255"/>
        <w:spacing w:after="0"/>
        <w:tabs>
          <w:tab w:leader="none" w:pos="2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69" w:lineRule="exact"/>
        <w:rPr>
          <w:rFonts w:ascii="Times New Roman" w:cs="Times New Roman" w:eastAsia="Times New Roman" w:hAnsi="Times New Roman"/>
          <w:sz w:val="17"/>
          <w:szCs w:val="17"/>
          <w:b w:val="1"/>
          <w:bCs w:val="1"/>
          <w:color w:val="auto"/>
        </w:rPr>
      </w:pPr>
    </w:p>
    <w:p>
      <w:pPr>
        <w:ind w:left="440" w:hanging="238"/>
        <w:spacing w:after="0"/>
        <w:tabs>
          <w:tab w:leader="none" w:pos="440" w:val="left"/>
        </w:tabs>
        <w:numPr>
          <w:ilvl w:val="1"/>
          <w:numId w:val="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General</w:t>
      </w:r>
    </w:p>
    <w:p>
      <w:pPr>
        <w:spacing w:after="0" w:line="189"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AMN Healthcare Services, Inc. was incorporated in Delaware on November 10, 1997. AMN Healthcare Services, Inc. and its subsidiaries (collectively, the “Company”) provide healthcare workforce solutions and staffing services at acute and sub-acute care hospitals and other healthcare facilities throughout the United States.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(b) Principles of Consolidation</w:t>
      </w:r>
    </w:p>
    <w:p>
      <w:pPr>
        <w:spacing w:after="0" w:line="189" w:lineRule="exact"/>
        <w:rPr>
          <w:sz w:val="20"/>
          <w:szCs w:val="20"/>
          <w:color w:val="auto"/>
        </w:rPr>
      </w:pPr>
    </w:p>
    <w:p>
      <w:pPr>
        <w:ind w:right="460" w:firstLine="433"/>
        <w:spacing w:after="0" w:line="29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AMN Healthcare Services, Inc. and its wholly-owned subsidiaries. All significant intercompany balances and transactions have been eliminated in consolidation.</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 Use of Estimates</w:t>
      </w:r>
    </w:p>
    <w:p>
      <w:pPr>
        <w:spacing w:after="0" w:line="176" w:lineRule="exact"/>
        <w:rPr>
          <w:sz w:val="20"/>
          <w:szCs w:val="20"/>
          <w:color w:val="auto"/>
        </w:rPr>
      </w:pPr>
    </w:p>
    <w:p>
      <w:pPr>
        <w:ind w:right="120" w:firstLine="472"/>
        <w:spacing w:after="0" w:line="26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a number of estimates and assumptions relating to the reporting of assets and liabilities and the disclosure of contingent assets and liabilities at the dates of the consolidated financial statements and the reported amounts of revenue and expenses during the reporting periods. On an ongoing basis, the Company evaluates its estimates, including those related to goodwill and indefinite-lived intangible assets, professional liability reserve, contingent liabilities such as legal accruals, and income taxes. The Company bases these estimates on the information that is currently available and on various other assumptions that it believes are reasonable under the circumstances. Actual results could differ from those estimates under different assumptions or conditions.</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 Cost of Revenue</w:t>
      </w:r>
    </w:p>
    <w:p>
      <w:pPr>
        <w:spacing w:after="0" w:line="254" w:lineRule="exact"/>
        <w:rPr>
          <w:sz w:val="20"/>
          <w:szCs w:val="20"/>
          <w:color w:val="auto"/>
        </w:rPr>
      </w:pPr>
    </w:p>
    <w:p>
      <w:pPr>
        <w:ind w:right="140" w:firstLine="472"/>
        <w:spacing w:after="0" w:line="297" w:lineRule="auto"/>
        <w:rPr>
          <w:sz w:val="20"/>
          <w:szCs w:val="20"/>
          <w:color w:val="auto"/>
        </w:rPr>
      </w:pPr>
      <w:r>
        <w:rPr>
          <w:rFonts w:ascii="Times New Roman" w:cs="Times New Roman" w:eastAsia="Times New Roman" w:hAnsi="Times New Roman"/>
          <w:sz w:val="17"/>
          <w:szCs w:val="17"/>
          <w:color w:val="auto"/>
        </w:rPr>
        <w:t>Cost of revenue represents costs directly associated with the earnings of revenue and are comprised primarily of compensation, benefits, housing, travel and allowance costs for healthcare professionals and medically qualified interpreters.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(e) Selling, General and Administrative Expenses</w:t>
      </w:r>
    </w:p>
    <w:p>
      <w:pPr>
        <w:spacing w:after="0" w:line="254" w:lineRule="exact"/>
        <w:rPr>
          <w:sz w:val="20"/>
          <w:szCs w:val="20"/>
          <w:color w:val="auto"/>
        </w:rPr>
      </w:pPr>
    </w:p>
    <w:p>
      <w:pPr>
        <w:ind w:right="440" w:firstLine="472"/>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consist predominantly of compensation and benefits costs for corporate employees, in additional to professional service fees, legal matter accruals, and other overhead costs. Unallocated corporate overhead is a subset of selling, general and administrative expenses and is comprised of indirect costs related to certain corporate functions that are not allocated to the Company’s reportable segments.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(f) Cash and Cash Equivalents</w:t>
      </w:r>
    </w:p>
    <w:p>
      <w:pPr>
        <w:spacing w:after="0" w:line="189"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 xml:space="preserve">The Company considers all highly liquid investments with an original maturity of three months or less to be cash equivalents. Cash and cash equivalents include currency on hand, deposits with financial institutions, money market funds, and other highly liquid investments. See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“Fair Value Measurement” for additional information.</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(g) Restricted Cash, Cash Equivalents and Investments</w:t>
      </w:r>
    </w:p>
    <w:p>
      <w:pPr>
        <w:spacing w:after="0" w:line="189"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 xml:space="preserve">Restricted cash, cash equivalents and investments primarily include cash, corporate bonds and commercial paper that serve as collateral for the Company’s captive insurance subsidiary claim payments. See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“Fair Value Measurement” for additional information.</w:t>
      </w:r>
    </w:p>
    <w:p>
      <w:pPr>
        <w:spacing w:after="0" w:line="93" w:lineRule="exact"/>
        <w:rPr>
          <w:sz w:val="20"/>
          <w:szCs w:val="20"/>
          <w:color w:val="auto"/>
        </w:rPr>
      </w:pPr>
    </w:p>
    <w:p>
      <w:pPr>
        <w:ind w:right="16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accompanying consolidated balance sheets and related notes to the amounts presented in the accompanying consolidated</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10,649</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and cash equivalents (included in other current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14,984</w:t>
            </w: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cash equivalents and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71,840</w:t>
            </w:r>
          </w:p>
        </w:tc>
      </w:tr>
      <w:tr>
        <w:trPr>
          <w:trHeight w:val="216"/>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cash, cash equivalents and restricted cash and investments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101,206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97,473</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restricted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(8,168)</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67,171</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7"/>
                <w:szCs w:val="17"/>
                <w:color w:val="auto"/>
              </w:rPr>
              <w:t>89,305</w:t>
            </w: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140" w:firstLine="393"/>
        <w:spacing w:after="0" w:line="270" w:lineRule="auto"/>
        <w:rPr>
          <w:sz w:val="20"/>
          <w:szCs w:val="20"/>
          <w:color w:val="auto"/>
        </w:rPr>
      </w:pPr>
      <w:r>
        <w:rPr>
          <w:rFonts w:ascii="Times New Roman" w:cs="Times New Roman" w:eastAsia="Times New Roman" w:hAnsi="Times New Roman"/>
          <w:sz w:val="17"/>
          <w:szCs w:val="17"/>
          <w:color w:val="auto"/>
        </w:rPr>
        <w:t xml:space="preserve">The Company released $25,000 of restricted cash held at its captive insurance subsidiary in January 2025, which was used to repay a portion of the outstanding borrowings under the Senior Credit Facility (as defined in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below). As the restriction was in effect as of December 31, 2024 and the entire outstanding debt balance is classified as a noncurrent liability in the consolidated balance sheet, the noncurrent classification of the restricted cash was maintained as of December 31, 2024.</w:t>
      </w:r>
    </w:p>
    <w:p>
      <w:pPr>
        <w:spacing w:after="0" w:line="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(h) Fixed Assets</w:t>
      </w:r>
    </w:p>
    <w:p>
      <w:pPr>
        <w:spacing w:after="0" w:line="189"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The Company records furniture, equipment, leasehold improvements and capitalized software at cost less accumulated amortization and depreciation. The Company records equipment acquired under finance leases at the present value of the future minimum lease payments. The Company capitalizes major additions and improvements, and it expenses maintenance and repairs when incurred. The Company calculates depreciation on furniture, equipment and software using the straight-line method based on the estimated useful lives of the related assets (typically three to ten years). The Company depreciates leasehold improvements and equipment obtained under finance leases over the shorter of the term of the lease or their estimated useful lives. The Company includes depreciation of equipment obtained under finance leases with depreciation expense in the accompanying consolidated financial statements.</w:t>
      </w:r>
    </w:p>
    <w:p>
      <w:pPr>
        <w:spacing w:after="0" w:line="134" w:lineRule="exact"/>
        <w:rPr>
          <w:sz w:val="20"/>
          <w:szCs w:val="20"/>
          <w:color w:val="auto"/>
        </w:rPr>
      </w:pPr>
    </w:p>
    <w:p>
      <w:pPr>
        <w:ind w:right="300" w:firstLine="433"/>
        <w:spacing w:after="0" w:line="270" w:lineRule="auto"/>
        <w:rPr>
          <w:sz w:val="20"/>
          <w:szCs w:val="20"/>
          <w:color w:val="auto"/>
        </w:rPr>
      </w:pPr>
      <w:r>
        <w:rPr>
          <w:rFonts w:ascii="Times New Roman" w:cs="Times New Roman" w:eastAsia="Times New Roman" w:hAnsi="Times New Roman"/>
          <w:sz w:val="17"/>
          <w:szCs w:val="17"/>
          <w:color w:val="auto"/>
        </w:rPr>
        <w:t>The Company capitalizes costs it incurs to develop software during the application development stage. Application development stage costs generally include costs associated with software configuration, coding, installation and testing. The Company also capitalizes costs of significant upgrades and enhancements that result in additional functionality, whereas it expenses as incurred costs for maintenance and minor upgrades and enhancements. The Company amortizes capitalized costs using the straight-line method over three to ten years once the software is ready for its intended use.</w:t>
      </w:r>
    </w:p>
    <w:p>
      <w:pPr>
        <w:spacing w:after="0" w:line="130"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The Company assesses long-lived assets for impairment whenever events or changes in circumstances indicate that the carrying amount of an asset may not be recoverable. Recoverability of assets to be held and used is measured by a comparison of the carrying amount of an asset group to the future undiscounted net cash flows that are expected to be generated by the asset group. If such asset group is considered to be impaired, the impairment to be recognized is measured by the amount by which the carrying amount of the asset group exceeds the fair value of the asset group. The Company reports assets to be disposed of at the lower of the carrying amount or fair value less costs to sell.</w:t>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 Leases</w:t>
      </w:r>
    </w:p>
    <w:p>
      <w:pPr>
        <w:spacing w:after="0" w:line="254" w:lineRule="exact"/>
        <w:rPr>
          <w:sz w:val="20"/>
          <w:szCs w:val="20"/>
          <w:color w:val="auto"/>
        </w:rPr>
      </w:pPr>
    </w:p>
    <w:p>
      <w:pPr>
        <w:ind w:right="60" w:firstLine="393"/>
        <w:spacing w:after="0" w:line="264" w:lineRule="auto"/>
        <w:rPr>
          <w:sz w:val="20"/>
          <w:szCs w:val="20"/>
          <w:color w:val="auto"/>
        </w:rPr>
      </w:pPr>
      <w:r>
        <w:rPr>
          <w:rFonts w:ascii="Times New Roman" w:cs="Times New Roman" w:eastAsia="Times New Roman" w:hAnsi="Times New Roman"/>
          <w:sz w:val="17"/>
          <w:szCs w:val="17"/>
          <w:color w:val="auto"/>
        </w:rPr>
        <w:t>The Company recognizes operating lease right-of-use assets and liabilities at commencement date based on the present value of the future minimum lease payments over the lease term. Leases with an initial term of 12 months or less are not recorded on the balance sheet in accordance with the short-term lease recognition exemption. The Company applies the practical expedient to not separate lease and non-lease components for all leases that qualify. The rates implicit in the Company’s lease arrangements are generally not readily determinable and as such, the Company uses its incremental borrowing rate as the discount rate to measure its lease liabilities. The incremental borrowing rate is determined for each operating lease based on the Company’s borrowing capabilities over a similar term of the lease arrangement, which is estimated by utilizing the Company’s credit rating and the effects of full collateralization. Lease expense is recognized on a straight-line basis over the lease term.</w:t>
      </w:r>
    </w:p>
    <w:p>
      <w:pPr>
        <w:spacing w:after="0" w:line="200" w:lineRule="exact"/>
        <w:rPr>
          <w:sz w:val="20"/>
          <w:szCs w:val="20"/>
          <w:color w:val="auto"/>
        </w:rPr>
      </w:pPr>
    </w:p>
    <w:p>
      <w:pPr>
        <w:ind w:right="200" w:firstLine="393"/>
        <w:spacing w:after="0" w:line="297" w:lineRule="auto"/>
        <w:rPr>
          <w:sz w:val="20"/>
          <w:szCs w:val="20"/>
          <w:color w:val="auto"/>
        </w:rPr>
      </w:pPr>
      <w:r>
        <w:rPr>
          <w:rFonts w:ascii="Times New Roman" w:cs="Times New Roman" w:eastAsia="Times New Roman" w:hAnsi="Times New Roman"/>
          <w:sz w:val="17"/>
          <w:szCs w:val="17"/>
          <w:color w:val="auto"/>
        </w:rPr>
        <w:t>Operating lease right-of-use assets are included in other assets, and operating lease liabilities are included in other current liabilities and other long-term liabilities in the consolidated balance sheets.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(j) Goodwill</w:t>
      </w:r>
    </w:p>
    <w:p>
      <w:pPr>
        <w:spacing w:after="0" w:line="176" w:lineRule="exact"/>
        <w:rPr>
          <w:sz w:val="20"/>
          <w:szCs w:val="20"/>
          <w:color w:val="auto"/>
        </w:rPr>
      </w:pPr>
    </w:p>
    <w:p>
      <w:pPr>
        <w:jc w:val="both"/>
        <w:ind w:right="140" w:firstLine="433"/>
        <w:spacing w:after="0" w:line="277" w:lineRule="auto"/>
        <w:rPr>
          <w:sz w:val="20"/>
          <w:szCs w:val="20"/>
          <w:color w:val="auto"/>
        </w:rPr>
      </w:pPr>
      <w:r>
        <w:rPr>
          <w:rFonts w:ascii="Times New Roman" w:cs="Times New Roman" w:eastAsia="Times New Roman" w:hAnsi="Times New Roman"/>
          <w:sz w:val="17"/>
          <w:szCs w:val="17"/>
          <w:color w:val="auto"/>
        </w:rPr>
        <w:t>The Company records as goodwill the portion of the purchase price that exceeds the fair value of net assets of entities acquired. The Company evaluates goodwill annually for impairment at the reporting unit level and whenever circumstances occur indicating that goodwill may be impaired. The Company may first perform an optional qualitative assessment to</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determine whether it is more likely than not that the fair value of a reporting unit is less than its carrying amount. If, after assessing the totality of events and circumstances, the Company determines that it is more likely than not that the fair value of the reporting unit is greater than its carrying amount, the quantitative impairment test is unnecessary. If a reporting unit does not pass the qualitative assessment, then the Company performs a quantitative test in which the reporting unit’s carrying amount is compared to its fair value. The amount by which the carrying amount of the goodwill exceeds its fair value is recognized as an impairment loss. See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“Fair Value Measurement” for additional information.</w:t>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(k) Intangible Assets</w:t>
      </w:r>
    </w:p>
    <w:p>
      <w:pPr>
        <w:spacing w:after="0" w:line="189"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Intangible assets consist of identifiable intangible assets acquired through acquisitions, which include tradenames and trademarks, customer relationships, staffing databases, developed technology and non-compete agreements. The Company amortizes intangible assets, other than those with an indefinite life, using the straight-line method over their useful lives. The Company amortizes non-compete agreements using the straight-line method over the lives of the related agreements. The Company reviews for impairment intangible assets with estimable useful lives whenever events or changes in circumstances indicate that the carrying amount may not be recoverable.</w:t>
      </w:r>
    </w:p>
    <w:p>
      <w:pPr>
        <w:spacing w:after="0" w:line="117" w:lineRule="exact"/>
        <w:rPr>
          <w:sz w:val="20"/>
          <w:szCs w:val="20"/>
          <w:color w:val="auto"/>
        </w:rPr>
      </w:pPr>
    </w:p>
    <w:p>
      <w:pPr>
        <w:ind w:firstLine="433"/>
        <w:spacing w:after="0" w:line="268" w:lineRule="auto"/>
        <w:rPr>
          <w:sz w:val="20"/>
          <w:szCs w:val="20"/>
          <w:color w:val="auto"/>
        </w:rPr>
      </w:pPr>
      <w:r>
        <w:rPr>
          <w:rFonts w:ascii="Times New Roman" w:cs="Times New Roman" w:eastAsia="Times New Roman" w:hAnsi="Times New Roman"/>
          <w:sz w:val="17"/>
          <w:szCs w:val="17"/>
          <w:color w:val="auto"/>
        </w:rPr>
        <w:t>The Company does not amortize indefinite-lived intangible assets and instead reviews them for impairment annually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may first perform a qualitative assessment to determine whether it is more likely than not that an indefinite-lived intangible asset is impaired. If, after assessing the totality of events and circumstances, the Company determines that it is more likely than not that the indefinite-lived intangible asset is not impaired, no quantitative fair value measurement is necessary. If a quantitative fair value measurement calculation is required for an indefinite-lived intangible asset, the Company compares its fair value with its carrying amount. If the carrying amount exceeds the fair value, the Company records the excess as an impairment loss.</w:t>
      </w:r>
    </w:p>
    <w:p>
      <w:pPr>
        <w:spacing w:after="0" w:line="1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 Insurance Reserves</w:t>
      </w:r>
    </w:p>
    <w:p>
      <w:pPr>
        <w:spacing w:after="0" w:line="189" w:lineRule="exact"/>
        <w:rPr>
          <w:sz w:val="20"/>
          <w:szCs w:val="20"/>
          <w:color w:val="auto"/>
        </w:rPr>
      </w:pPr>
    </w:p>
    <w:p>
      <w:pPr>
        <w:ind w:firstLine="433"/>
        <w:spacing w:after="0" w:line="261" w:lineRule="auto"/>
        <w:rPr>
          <w:sz w:val="20"/>
          <w:szCs w:val="20"/>
          <w:color w:val="auto"/>
        </w:rPr>
      </w:pPr>
      <w:r>
        <w:rPr>
          <w:rFonts w:ascii="Times New Roman" w:cs="Times New Roman" w:eastAsia="Times New Roman" w:hAnsi="Times New Roman"/>
          <w:sz w:val="17"/>
          <w:szCs w:val="17"/>
          <w:color w:val="auto"/>
        </w:rPr>
        <w:t>The Company maintains an accrual for professional liability that is included in accounts payable and accrued expenses and other long-term liabilities in the consolidated balance sheets. The expense is included in the selling, general and administrative expenses in the consolidated statements of comprehensive income (loss). The Company determines the adequacy of this accrual by evaluating its historical experience and trends, loss reserves established by the Company’s insurance carriers, management and third-party administrators, and independent actuarial studies. The Company obtains actuarial studies on a semi-annual basis that use the Company’s actual claims data and industry data to assist the Company in determining the adequacy of its reserves each year. For periods between the actuarial studies, the Company records its accruals based on loss rates provided in the most recent actuarial study and management’s review of loss history and trends. Liabilities include provisions for estimated incurred but not yet reported (“IBNR”) losses, as well as provisions for known claims. IBNR reserve estimates involve the use of assumptions that are primarily based upon historical loss experience, industry data and other actuarial assumptions. The Company maintains insurance programs through its wholly-owned captive insurance subsidiary, which primarily provides coverage, on an occurrence basis, for professional liability within its nurse and allied solutions segment. In addition, the Company maintains excess insurance coverage through a commercial carrier for losses above the per occurrence retention. Losses covered by excess insurance are included in the accrual for professional liability, as the Company remains liable to the extent commercial carriers do not meet their obligations.</w:t>
      </w:r>
    </w:p>
    <w:p>
      <w:pPr>
        <w:spacing w:after="0" w:line="203" w:lineRule="exact"/>
        <w:rPr>
          <w:sz w:val="20"/>
          <w:szCs w:val="20"/>
          <w:color w:val="auto"/>
        </w:rPr>
      </w:pPr>
    </w:p>
    <w:p>
      <w:pPr>
        <w:ind w:right="60" w:firstLine="393"/>
        <w:spacing w:after="0" w:line="264" w:lineRule="auto"/>
        <w:rPr>
          <w:sz w:val="20"/>
          <w:szCs w:val="20"/>
          <w:color w:val="auto"/>
        </w:rPr>
      </w:pPr>
      <w:r>
        <w:rPr>
          <w:rFonts w:ascii="Times New Roman" w:cs="Times New Roman" w:eastAsia="Times New Roman" w:hAnsi="Times New Roman"/>
          <w:sz w:val="17"/>
          <w:szCs w:val="17"/>
          <w:color w:val="auto"/>
        </w:rPr>
        <w:t>The Company maintains an accrual for workers’ compensation, which is included in accrued compensation and benefits and other long-term liabilities in the consolidated balance sheets. The expense relating to healthcare professionals is included in cost of revenue, while the expense relating to corporate employees is included in the selling, general and administrative expenses in the consolidated statements of comprehensive income (loss). The Company determines the adequacy of this accrual by evaluating its historical experience and trends, loss reserves established by the Company’s insurance carriers and third-party administrators, and independent actuarial studies. The Company obtains actuarial studies on a semi-annual basis that use the Company’s payroll and historical claims data, as well as industry data, to determine the appropriate reserve for both reported claims and IBNR claims for each policy year. For periods between the actuarial studies, the Company records its accruals based on loss rates provided in the most recent actuarial study.</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 Revenue Recognition</w:t>
      </w:r>
    </w:p>
    <w:p>
      <w:pPr>
        <w:spacing w:after="0" w:line="176" w:lineRule="exact"/>
        <w:rPr>
          <w:sz w:val="20"/>
          <w:szCs w:val="20"/>
          <w:color w:val="auto"/>
        </w:rPr>
      </w:pPr>
    </w:p>
    <w:p>
      <w:pPr>
        <w:ind w:right="60" w:firstLine="393"/>
        <w:spacing w:after="0" w:line="267" w:lineRule="auto"/>
        <w:rPr>
          <w:sz w:val="20"/>
          <w:szCs w:val="20"/>
          <w:color w:val="auto"/>
        </w:rPr>
      </w:pPr>
      <w:r>
        <w:rPr>
          <w:rFonts w:ascii="Times New Roman" w:cs="Times New Roman" w:eastAsia="Times New Roman" w:hAnsi="Times New Roman"/>
          <w:sz w:val="17"/>
          <w:szCs w:val="17"/>
          <w:color w:val="auto"/>
        </w:rPr>
        <w:t>Revenue primarily consists of fees earned from the temporary staffing and permanent placement of healthcare professionals, executives, and leaders (clinical and operational). The Company also generates revenue from technology-enabled services, including language interpretation and vendor management systems, and talent planning and acquisition services, including recruitment process outsourcing. The Company recognizes revenue when control of its services is transferred to its customers, in an amount that reflects the consideration the Company expects to be entitled to receive in exchange for those services. Revenue from temporary staffing services is recognized as the services are rendered by clinical and non-clinical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healthcare professionals. Under the Company’s managed services program (“MSP”) arrangements, the Company manages all or a part of a customer’s supplemental workforce needs utilizing its own network of healthcare professionals along with those of third-party subcontractors. Revenue and the related direct costs are recorded in accordance with the accounting guidance on reporting revenue gross as a principal versus net as an agent. Revenue is recorded on a gross basis when the Company utilizes its own network of healthcare professionals (including nurses, allied healthcare professionals, locum tenens, and executive and leadership interim staff). Conversely, when the Company uses subcontractors under an MSP arrangement and acts as an agent, revenue is recorded net of the related subcontractor’s expense. Revenue from permanent placement and recruitment process outsourcing services is recognized as the services are rendered. Depending on the arrangement, the Company’s technology-enabled service revenue is recognized either as the services are rendered or ratably over the applicable arrangement’s service period. Revenue for the language services business is recorded on a gross basis. Under vendor management systems arrangements, revenue is recorded on a net basis as an agent because other companies are primarily responsible for providing the staffing services, for which the Company is entitled a percentage fee. See additional information below regarding the Company’s revenue disaggregated by service type.</w:t>
      </w:r>
    </w:p>
    <w:p>
      <w:pPr>
        <w:spacing w:after="0" w:line="130" w:lineRule="exact"/>
        <w:rPr>
          <w:sz w:val="20"/>
          <w:szCs w:val="20"/>
          <w:color w:val="auto"/>
        </w:rPr>
      </w:pPr>
    </w:p>
    <w:p>
      <w:pPr>
        <w:ind w:right="140" w:firstLine="393"/>
        <w:spacing w:after="0" w:line="267" w:lineRule="auto"/>
        <w:rPr>
          <w:sz w:val="20"/>
          <w:szCs w:val="20"/>
          <w:color w:val="auto"/>
        </w:rPr>
      </w:pPr>
      <w:r>
        <w:rPr>
          <w:rFonts w:ascii="Times New Roman" w:cs="Times New Roman" w:eastAsia="Times New Roman" w:hAnsi="Times New Roman"/>
          <w:sz w:val="17"/>
          <w:szCs w:val="17"/>
          <w:color w:val="auto"/>
        </w:rPr>
        <w:t>The Company’s customers are primarily billed as services are rendered. Any fees billed in advance of being earned are recorded as deferred revenue. For labor disruption engagements, customer deposits received in advance of service delivery are recorded as contract liabilities within client deposits. Revenue is recognized over time as staffing and related services are provided during the strike or crisis event. Upon completion of the event, actual labor and costs are reconciled to amounts billed, resulting in either a refund to the customer from the remaining contract liability or an incremental invoice for any remaining amounts due.</w:t>
      </w:r>
    </w:p>
    <w:p>
      <w:pPr>
        <w:spacing w:after="0" w:line="119" w:lineRule="exact"/>
        <w:rPr>
          <w:sz w:val="20"/>
          <w:szCs w:val="20"/>
          <w:color w:val="auto"/>
        </w:rPr>
      </w:pPr>
    </w:p>
    <w:p>
      <w:pPr>
        <w:ind w:right="80" w:firstLine="393"/>
        <w:spacing w:after="0" w:line="277" w:lineRule="auto"/>
        <w:rPr>
          <w:sz w:val="20"/>
          <w:szCs w:val="20"/>
          <w:color w:val="auto"/>
        </w:rPr>
      </w:pPr>
      <w:r>
        <w:rPr>
          <w:rFonts w:ascii="Times New Roman" w:cs="Times New Roman" w:eastAsia="Times New Roman" w:hAnsi="Times New Roman"/>
          <w:sz w:val="17"/>
          <w:szCs w:val="17"/>
          <w:color w:val="auto"/>
        </w:rPr>
        <w:t>The Company recognizes assets from incremental costs to obtain a contract with a customer and costs incurred to fulfill a contract with a customer, which are deferred and amortized using the portfolio approach on a straight line basis over the average period of benefit consistent with the timing of transfer of services to the customer.</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has elected to apply the following practical expedients and optional exemptions related to contract costs and revenue recognition:</w:t>
      </w:r>
    </w:p>
    <w:p>
      <w:pPr>
        <w:spacing w:after="0" w:line="67" w:lineRule="exact"/>
        <w:rPr>
          <w:sz w:val="20"/>
          <w:szCs w:val="20"/>
          <w:color w:val="auto"/>
        </w:rPr>
      </w:pPr>
    </w:p>
    <w:p>
      <w:pPr>
        <w:ind w:left="640" w:right="180" w:hanging="320"/>
        <w:spacing w:after="0" w:line="289"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incremental costs of obtaining a contract with amortization periods of one year or less as expense when incurred. These costs are recorded within selling, general and administrative expenses.</w:t>
      </w:r>
    </w:p>
    <w:p>
      <w:pPr>
        <w:spacing w:after="0" w:line="1" w:lineRule="exact"/>
        <w:rPr>
          <w:rFonts w:ascii="Times New Roman" w:cs="Times New Roman" w:eastAsia="Times New Roman" w:hAnsi="Times New Roman"/>
          <w:sz w:val="17"/>
          <w:szCs w:val="17"/>
          <w:color w:val="auto"/>
        </w:rPr>
      </w:pPr>
    </w:p>
    <w:p>
      <w:pPr>
        <w:ind w:left="640" w:right="260" w:hanging="320"/>
        <w:spacing w:after="0" w:line="289"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in the amount of consideration that the Company has a right to invoice the customer if that amount corresponds directly with the value to the customer of the Company’s services completed to date.</w:t>
      </w:r>
    </w:p>
    <w:p>
      <w:pPr>
        <w:spacing w:after="0" w:line="1" w:lineRule="exact"/>
        <w:rPr>
          <w:rFonts w:ascii="Times New Roman" w:cs="Times New Roman" w:eastAsia="Times New Roman" w:hAnsi="Times New Roman"/>
          <w:sz w:val="17"/>
          <w:szCs w:val="17"/>
          <w:color w:val="auto"/>
        </w:rPr>
      </w:pPr>
    </w:p>
    <w:p>
      <w:pPr>
        <w:ind w:left="640" w:right="180" w:hanging="320"/>
        <w:spacing w:after="0" w:line="270"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disclosing the value of unsatisfied performance obligations for (i) contracts with an original expected length of one year or less, (ii) contracts for which revenue is recognized in the amount of consideration that the Company has a right to invoice for services performed and (iii) contracts for which variable consideration is allocated entirely to a wholly unsatisfied performance obligation or to a wholly unsatisfied promise to transfer a distinct service that forms part of a single performance obligation.</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 Accounts Receivable</w:t>
      </w:r>
    </w:p>
    <w:p>
      <w:pPr>
        <w:spacing w:after="0" w:line="189"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Company records accounts receivable at the invoiced amount. Accounts receivable are non-interest bearing. The Company maintains an allowance for expected credit losses based on the Company’s historical write-off experience, an assessment of its customers’ financial conditions and available information that is relevant to assessing the collectability of cash flows.</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provides a reconciliation of activity in the allowance for expected credit losses for accounts receivable: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32,233</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6,549</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Amounts written off charged against the allowance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(6,361)</w:t>
            </w:r>
          </w:p>
        </w:tc>
      </w:tr>
      <w:tr>
        <w:trPr>
          <w:trHeight w:val="223"/>
        </w:trPr>
        <w:tc>
          <w:tcPr>
            <w:tcW w:w="75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Allowance for credit losses in sale of disposal group </w:t>
            </w:r>
            <w:r>
              <w:rPr>
                <w:rFonts w:ascii="Times New Roman" w:cs="Times New Roman" w:eastAsia="Times New Roman" w:hAnsi="Times New Roman"/>
                <w:sz w:val="22"/>
                <w:szCs w:val="22"/>
                <w:color w:val="auto"/>
                <w:vertAlign w:val="superscript"/>
              </w:rPr>
              <w:t>(1)</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w:t>
            </w:r>
          </w:p>
        </w:tc>
        <w:tc>
          <w:tcPr>
            <w:tcW w:w="1080" w:type="dxa"/>
            <w:vAlign w:val="bottom"/>
            <w:tcBorders>
              <w:bottom w:val="single" w:sz="8" w:color="auto"/>
            </w:tcBorders>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16,580</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See </w:t>
      </w:r>
      <w:r>
        <w:rPr>
          <w:rFonts w:ascii="Times New Roman" w:cs="Times New Roman" w:eastAsia="Times New Roman" w:hAnsi="Times New Roman"/>
          <w:sz w:val="14"/>
          <w:szCs w:val="14"/>
          <w:u w:val="single" w:color="auto"/>
          <w:color w:val="0000FF"/>
        </w:rPr>
        <w:t>Note (3)</w:t>
      </w:r>
      <w:r>
        <w:rPr>
          <w:rFonts w:ascii="Times New Roman" w:cs="Times New Roman" w:eastAsia="Times New Roman" w:hAnsi="Times New Roman"/>
          <w:sz w:val="14"/>
          <w:szCs w:val="14"/>
          <w:color w:val="auto"/>
        </w:rPr>
        <w:t>, “Sale of Disposal Group” for additional information regarding the assets disposed of by sale.</w:t>
      </w:r>
    </w:p>
    <w:p>
      <w:pPr>
        <w:spacing w:after="0" w:line="184" w:lineRule="exact"/>
        <w:rPr>
          <w:sz w:val="20"/>
          <w:szCs w:val="20"/>
          <w:color w:val="auto"/>
        </w:rPr>
      </w:pPr>
    </w:p>
    <w:p>
      <w:pPr>
        <w:ind w:right="340" w:firstLine="433"/>
        <w:spacing w:after="0" w:line="268" w:lineRule="auto"/>
        <w:rPr>
          <w:sz w:val="20"/>
          <w:szCs w:val="20"/>
          <w:color w:val="auto"/>
        </w:rPr>
      </w:pPr>
      <w:r>
        <w:rPr>
          <w:rFonts w:ascii="Times New Roman" w:cs="Times New Roman" w:eastAsia="Times New Roman" w:hAnsi="Times New Roman"/>
          <w:sz w:val="17"/>
          <w:szCs w:val="17"/>
          <w:color w:val="auto"/>
        </w:rPr>
        <w:t>The increase in write-offs reflects the resolution of accounts receivable from one significant customer and several smaller customers, all of which had previously been captured in the allowance for credit losses.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(o) Concentration of Credit Risk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33"/>
        <w:spacing w:after="0" w:line="264" w:lineRule="auto"/>
        <w:rPr>
          <w:sz w:val="20"/>
          <w:szCs w:val="20"/>
          <w:color w:val="auto"/>
        </w:rPr>
      </w:pPr>
      <w:r>
        <w:rPr>
          <w:rFonts w:ascii="Times New Roman" w:cs="Times New Roman" w:eastAsia="Times New Roman" w:hAnsi="Times New Roman"/>
          <w:sz w:val="17"/>
          <w:szCs w:val="17"/>
          <w:color w:val="auto"/>
        </w:rPr>
        <w:t>The majority of the Company’s business activity is with hospitals located throughout the United States. Credit is extended based on the evaluation of each entity’s financial condition. One customer primarily within the Company’s nurse and allied solutions segment comprised approximately 22%, 16% and 17% of the consolidated revenue of the Company for the years ended December 31, 2025, 2024 and 2023, respectively.</w:t>
      </w:r>
    </w:p>
    <w:p>
      <w:pPr>
        <w:spacing w:after="0" w:line="2" w:lineRule="exact"/>
        <w:rPr>
          <w:sz w:val="20"/>
          <w:szCs w:val="20"/>
          <w:color w:val="auto"/>
        </w:rPr>
      </w:pPr>
    </w:p>
    <w:p>
      <w:pPr>
        <w:ind w:right="280" w:firstLine="433"/>
        <w:spacing w:after="0" w:line="261" w:lineRule="auto"/>
        <w:rPr>
          <w:sz w:val="20"/>
          <w:szCs w:val="20"/>
          <w:color w:val="auto"/>
        </w:rPr>
      </w:pPr>
      <w:r>
        <w:rPr>
          <w:rFonts w:ascii="Times New Roman" w:cs="Times New Roman" w:eastAsia="Times New Roman" w:hAnsi="Times New Roman"/>
          <w:sz w:val="17"/>
          <w:szCs w:val="17"/>
          <w:color w:val="auto"/>
        </w:rPr>
        <w:t xml:space="preserve">The Company’s cash and cash equivalents and restricted cash, cash equivalents and investments accounts are financial instruments that are exposed to concentration of credit risk. The Company maintains most of its cash, cash equivalents and investment balances (both unrestricted and restricted) with high-credit quality and federally insured institutions. However, cash equivalents and restricted cash equivalents and investment balances may be invested in non-federally insured money market funds, commercial paper and corporate bonds. As of December 31, 2025 and 2024, there were $101,206 and $97,473, respectively, of cash, cash equivalents and restricted cash, cash equivalents and investments, a portion of which was invested in non-federally insured commercial paper and corporate bonds. See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“Fair Value Measurement,” for additional information.</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 Income Taxes</w:t>
      </w:r>
    </w:p>
    <w:p>
      <w:pPr>
        <w:spacing w:after="0" w:line="189" w:lineRule="exact"/>
        <w:rPr>
          <w:sz w:val="20"/>
          <w:szCs w:val="20"/>
          <w:color w:val="auto"/>
        </w:rPr>
      </w:pPr>
    </w:p>
    <w:p>
      <w:pPr>
        <w:ind w:right="60" w:firstLine="393"/>
        <w:spacing w:after="0" w:line="261" w:lineRule="auto"/>
        <w:rPr>
          <w:sz w:val="20"/>
          <w:szCs w:val="20"/>
          <w:color w:val="auto"/>
        </w:rPr>
      </w:pPr>
      <w:r>
        <w:rPr>
          <w:rFonts w:ascii="Times New Roman" w:cs="Times New Roman" w:eastAsia="Times New Roman" w:hAnsi="Times New Roman"/>
          <w:sz w:val="17"/>
          <w:szCs w:val="17"/>
          <w:color w:val="auto"/>
        </w:rPr>
        <w:t>The Company records income taxes using the asset and liability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the changes are enacted.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(including the impact of available carryback and carryforward periods), projected future taxable income, and tax-planning strategies in making this assessment. The Company recognizes the effect of income tax positions only if it is more likely than not that such positions will be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(q) Fair Value of Financial Instruments</w:t>
      </w:r>
    </w:p>
    <w:p>
      <w:pPr>
        <w:spacing w:after="0" w:line="189" w:lineRule="exact"/>
        <w:rPr>
          <w:sz w:val="20"/>
          <w:szCs w:val="20"/>
          <w:color w:val="auto"/>
        </w:rPr>
      </w:pPr>
    </w:p>
    <w:p>
      <w:pPr>
        <w:ind w:right="100" w:firstLine="433"/>
        <w:spacing w:after="0" w:line="263" w:lineRule="auto"/>
        <w:rPr>
          <w:sz w:val="20"/>
          <w:szCs w:val="20"/>
          <w:color w:val="auto"/>
        </w:rPr>
      </w:pPr>
      <w:r>
        <w:rPr>
          <w:rFonts w:ascii="Times New Roman" w:cs="Times New Roman" w:eastAsia="Times New Roman" w:hAnsi="Times New Roman"/>
          <w:sz w:val="17"/>
          <w:szCs w:val="17"/>
          <w:color w:val="auto"/>
        </w:rPr>
        <w:t xml:space="preserve">The carrying amounts of the Company’s cash equivalents and restricted cash equivalents and investments approximate their respective fair values due to the short-term nature and liquidity of these financial instruments. The fair value of the Company’s equity investment is measured using observable prices for identical or similar investments of the same issuer when such transactions are identified, which is more fully described in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xml:space="preserve">, “Fair Value Measurement.” As it relates to the Company’s 2029 Notes and 2031 Notes (as defined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xml:space="preserve">, respectively, below), fair value disclosure is detailed in </w:t>
      </w:r>
      <w:r>
        <w:rPr>
          <w:rFonts w:ascii="Times New Roman" w:cs="Times New Roman" w:eastAsia="Times New Roman" w:hAnsi="Times New Roman"/>
          <w:sz w:val="17"/>
          <w:szCs w:val="17"/>
          <w:u w:val="single" w:color="auto"/>
          <w:color w:val="0000FF"/>
        </w:rPr>
        <w:t>Note</w:t>
      </w:r>
    </w:p>
    <w:p>
      <w:pPr>
        <w:ind w:right="300"/>
        <w:spacing w:after="0" w:line="275" w:lineRule="auto"/>
        <w:rPr>
          <w:sz w:val="20"/>
          <w:szCs w:val="20"/>
          <w:color w:val="auto"/>
        </w:rPr>
      </w:pPr>
      <w:r>
        <w:rPr>
          <w:rFonts w:ascii="Times New Roman" w:cs="Times New Roman" w:eastAsia="Times New Roman" w:hAnsi="Times New Roman"/>
          <w:sz w:val="17"/>
          <w:szCs w:val="17"/>
          <w:u w:val="single" w:color="auto"/>
          <w:color w:val="0000FF"/>
        </w:rPr>
        <w:t>(4)</w:t>
      </w:r>
      <w:r>
        <w:rPr>
          <w:rFonts w:ascii="Times New Roman" w:cs="Times New Roman" w:eastAsia="Times New Roman" w:hAnsi="Times New Roman"/>
          <w:sz w:val="17"/>
          <w:szCs w:val="17"/>
          <w:color w:val="000000"/>
        </w:rPr>
        <w:t>, “Fair Value Measurement.” See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“Notes Payable and Credit Agreement,” for additional information. The fair value of the Company’s long-term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self-insurance accruals cannot be estimated because the Company cannot reasonably determine the timing of future payments.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 Share-Based Compensation</w:t>
      </w:r>
    </w:p>
    <w:p>
      <w:pPr>
        <w:spacing w:after="0" w:line="189"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The Company accounts for its share-based employee compensation plans by expensing the estimated fair value of share-based awards on a straight-line basis over the requisite employee service period, which typically is the vesting period, except for awards granted to retirement-eligible employees, which are expensed on an accelerated basis. Restricted stock units (“RSUs”) typically vest over a three-year period. Share-based compensation cost of RSUs is measured by the market value of the Company’s common stock on the date of grant, and the Company records share-based compensation expense only for those awards that are expected to vest. Performance restricted stock units (“PRSUs”) primarily consist of PRSUs that contain performance conditions dependent on defined targets of the Company’s adjusted EBITDA, with a range of 0% to 200% of the target amount granted to be issued under the award. Share-based compensation cost for these PRSUs is measured by the market value of the Company’s common stock on the date of grant, and the amount recognized is adjusted for estimated achievement of the performance conditions. A limited amount of PRSUs contain a market condition dependent upon the Company’s relative and absolute total stockholder return over a three-year period, typically with a range of 0% to 175% (and certain awards with a range of 0% to 200%) of the target amount granted to be issued under the award. Share-based compensation cost for these PRSUs is measured using the Monte-Carlo simulation valuation model and is not typically adjusted for the achievement, or lack thereof, of the market conditions. Share-based compensation cost for purchase rights granted under the Company’s employee stock purchase plan is measured using the Black-Scholes model and the related employee contributions are included in accrued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compensation and benefits in the consolidated balance sheets. See </w:t>
      </w:r>
      <w:r>
        <w:rPr>
          <w:rFonts w:ascii="Times New Roman" w:cs="Times New Roman" w:eastAsia="Times New Roman" w:hAnsi="Times New Roman"/>
          <w:sz w:val="17"/>
          <w:szCs w:val="17"/>
          <w:u w:val="single" w:color="auto"/>
          <w:color w:val="0000FF"/>
        </w:rPr>
        <w:t>Note (12)</w:t>
      </w:r>
      <w:r>
        <w:rPr>
          <w:rFonts w:ascii="Times New Roman" w:cs="Times New Roman" w:eastAsia="Times New Roman" w:hAnsi="Times New Roman"/>
          <w:sz w:val="17"/>
          <w:szCs w:val="17"/>
          <w:color w:val="auto"/>
        </w:rPr>
        <w:t>, “Share-Based Compensation,” for additional information.</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 Net Income (Loss) per Common Share</w:t>
      </w:r>
    </w:p>
    <w:p>
      <w:pPr>
        <w:spacing w:after="0" w:line="36" w:lineRule="exact"/>
        <w:rPr>
          <w:sz w:val="20"/>
          <w:szCs w:val="20"/>
          <w:color w:val="auto"/>
        </w:rPr>
      </w:pPr>
    </w:p>
    <w:p>
      <w:pPr>
        <w:ind w:right="60" w:firstLine="393"/>
        <w:spacing w:after="0" w:line="275"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(loss) per common share for the years ended December 31, 2025, 2024 and 2023,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210,679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 - basic</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 - diluted</w:t>
            </w: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39,173</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 dilutive effect of potential common shares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38,188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39,341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72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Anti-dilutive potential common shares excluded from diluted weighted average common</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outstanding</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00" w:firstLine="393"/>
        <w:spacing w:after="0" w:line="297" w:lineRule="auto"/>
        <w:rPr>
          <w:sz w:val="20"/>
          <w:szCs w:val="20"/>
          <w:color w:val="auto"/>
        </w:rPr>
      </w:pPr>
      <w:r>
        <w:rPr>
          <w:rFonts w:ascii="Times New Roman" w:cs="Times New Roman" w:eastAsia="Times New Roman" w:hAnsi="Times New Roman"/>
          <w:sz w:val="17"/>
          <w:szCs w:val="17"/>
          <w:color w:val="auto"/>
        </w:rPr>
        <w:t>The dilutive effect of potential shares and anti-dilutive potential common shares primarily include outstanding share-based awards, which consists of restricted stock units, performance restricted stock units, and obligations under the Company’s employee stock purchase plan.</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(t) Segment Information</w:t>
      </w:r>
    </w:p>
    <w:p>
      <w:pPr>
        <w:spacing w:after="0" w:line="189" w:lineRule="exact"/>
        <w:rPr>
          <w:sz w:val="20"/>
          <w:szCs w:val="20"/>
          <w:color w:val="auto"/>
        </w:rPr>
      </w:pPr>
    </w:p>
    <w:p>
      <w:pPr>
        <w:ind w:right="100" w:firstLine="393"/>
        <w:spacing w:after="0" w:line="263" w:lineRule="auto"/>
        <w:rPr>
          <w:sz w:val="20"/>
          <w:szCs w:val="20"/>
          <w:color w:val="auto"/>
        </w:rPr>
      </w:pPr>
      <w:r>
        <w:rPr>
          <w:rFonts w:ascii="Times New Roman" w:cs="Times New Roman" w:eastAsia="Times New Roman" w:hAnsi="Times New Roman"/>
          <w:sz w:val="17"/>
          <w:szCs w:val="17"/>
          <w:color w:val="auto"/>
        </w:rPr>
        <w:t>The Company’s operating segments are identified in the same manner as they are reported internally and used by the Company’s chief operating decision maker (“CODM”) for the purpose of evaluating performance and allocating resources. The Company’s Chief Executive Officer and its Chief Financial Officer and Chief Operating Officer serve as the Company’s CODM. The Company has three reportable segments: (1) nurse and allied solutions, (2) physician and leadership solutions, and (3) technology and workforce solutions. The nurse and allied solutions segment includes the Company’s travel nurse staffing (including international nurse staffing and rapid response nurse staffing), labor disruption staffing, local staffing, international nurse permanent placement, and allied staffing (including revenue cycle solutions) businesses. The physician and leadership solutions segment includes the Company’s locum tenens staffing, healthcare interim leadership staffing, executive search, and physician permanent placement businesses. The technology and workforce solutions segment includes the Company’s language services, vendor management systems (“VMS”), workforce optimization, and outsourced solutions businesses.</w:t>
      </w:r>
    </w:p>
    <w:p>
      <w:pPr>
        <w:spacing w:after="0" w:line="122" w:lineRule="exact"/>
        <w:rPr>
          <w:sz w:val="20"/>
          <w:szCs w:val="20"/>
          <w:color w:val="auto"/>
        </w:rPr>
      </w:pPr>
    </w:p>
    <w:p>
      <w:pPr>
        <w:ind w:right="20" w:firstLine="393"/>
        <w:spacing w:after="0" w:line="270" w:lineRule="auto"/>
        <w:rPr>
          <w:sz w:val="20"/>
          <w:szCs w:val="20"/>
          <w:color w:val="auto"/>
        </w:rPr>
      </w:pPr>
      <w:r>
        <w:rPr>
          <w:rFonts w:ascii="Times New Roman" w:cs="Times New Roman" w:eastAsia="Times New Roman" w:hAnsi="Times New Roman"/>
          <w:sz w:val="17"/>
          <w:szCs w:val="17"/>
          <w:color w:val="auto"/>
        </w:rPr>
        <w:t>The Company’s CODM relies on internal management reporting processes that provide revenue, gross profit and operating income by reportable segment. These financial measures are used by the CODM to evaluate segment performance, monitor variances between periods and against projections, make key operating decisions, and allocate resources such as capital and personnel to each segment. The CODM does not evaluate or measure performance of segments using asset information; accordingly, asset information by segment is not prepared or disclosed.</w:t>
      </w:r>
    </w:p>
    <w:p>
      <w:pPr>
        <w:spacing w:after="0" w:line="117" w:lineRule="exact"/>
        <w:rPr>
          <w:sz w:val="20"/>
          <w:szCs w:val="20"/>
          <w:color w:val="auto"/>
        </w:rPr>
      </w:pPr>
    </w:p>
    <w:p>
      <w:pPr>
        <w:ind w:right="80" w:firstLine="393"/>
        <w:spacing w:after="0" w:line="277" w:lineRule="auto"/>
        <w:rPr>
          <w:sz w:val="20"/>
          <w:szCs w:val="20"/>
          <w:color w:val="auto"/>
        </w:rPr>
      </w:pPr>
      <w:r>
        <w:rPr>
          <w:rFonts w:ascii="Times New Roman" w:cs="Times New Roman" w:eastAsia="Times New Roman" w:hAnsi="Times New Roman"/>
          <w:sz w:val="17"/>
          <w:szCs w:val="17"/>
          <w:color w:val="auto"/>
        </w:rPr>
        <w:t>Beginning this year, the Company revised its corporate resource allocation methodology to better match actual consumption by reportable segments, which affects the measurement of segment operating income used by the CODM. Based on management’s estimates, the change did not have a material impact on segment operating income.</w:t>
      </w:r>
    </w:p>
    <w:p>
      <w:pPr>
        <w:spacing w:after="0" w:line="189"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The following tables provide reconciliations of revenue, gross profit and operating income by reportable segment to consolidated results and were derived from each segment’s internal financial information as used for corporate management purposes. Segment operating income represents income (loss) before income taxes plus depreciation, amortization of intangible assets, share-based compensation, gain on sale of disposal group, impairment losses for goodwill and long-lived assets, interest expense, net, and other, and unallocated corporate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Nurse and Allied Solutions</w:t>
            </w:r>
          </w:p>
        </w:tc>
        <w:tc>
          <w:tcPr>
            <w:tcW w:w="1780" w:type="dxa"/>
            <w:vAlign w:val="bottom"/>
            <w:gridSpan w:val="3"/>
          </w:tcPr>
          <w:p>
            <w:pPr>
              <w:jc w:val="center"/>
              <w:ind w:right="140"/>
              <w:spacing w:after="0" w:line="126" w:lineRule="exact"/>
              <w:rPr>
                <w:sz w:val="20"/>
                <w:szCs w:val="20"/>
                <w:color w:val="auto"/>
              </w:rPr>
            </w:pPr>
            <w:r>
              <w:rPr>
                <w:rFonts w:ascii="Times New Roman" w:cs="Times New Roman" w:eastAsia="Times New Roman" w:hAnsi="Times New Roman"/>
                <w:sz w:val="14"/>
                <w:szCs w:val="14"/>
                <w:b w:val="1"/>
                <w:bCs w:val="1"/>
                <w:color w:val="auto"/>
              </w:rPr>
              <w:t>Physician and Leadership</w:t>
            </w:r>
          </w:p>
        </w:tc>
        <w:tc>
          <w:tcPr>
            <w:tcW w:w="140" w:type="dxa"/>
            <w:vAlign w:val="bottom"/>
          </w:tcPr>
          <w:p>
            <w:pPr>
              <w:spacing w:after="0"/>
              <w:rPr>
                <w:sz w:val="10"/>
                <w:szCs w:val="10"/>
                <w:color w:val="auto"/>
              </w:rPr>
            </w:pPr>
          </w:p>
        </w:tc>
        <w:tc>
          <w:tcPr>
            <w:tcW w:w="1480" w:type="dxa"/>
            <w:vAlign w:val="bottom"/>
          </w:tcPr>
          <w:p>
            <w:pPr>
              <w:jc w:val="right"/>
              <w:ind w:right="257"/>
              <w:spacing w:after="0" w:line="126" w:lineRule="exact"/>
              <w:rPr>
                <w:sz w:val="20"/>
                <w:szCs w:val="20"/>
                <w:color w:val="auto"/>
              </w:rPr>
            </w:pPr>
            <w:r>
              <w:rPr>
                <w:rFonts w:ascii="Times New Roman" w:cs="Times New Roman" w:eastAsia="Times New Roman" w:hAnsi="Times New Roman"/>
                <w:sz w:val="14"/>
                <w:szCs w:val="14"/>
                <w:b w:val="1"/>
                <w:bCs w:val="1"/>
                <w:color w:val="auto"/>
              </w:rPr>
              <w:t>Technology and</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Workforce Solutions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1,647,318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696,362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386,749</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2,730,429</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1,269,045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504,503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182,823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1,956,371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378,273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191,859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203,926</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774,058</w:t>
            </w: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selling, general and administrative expenses</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86,413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473,983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(included in cost of revenue)</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(8,731)</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125,966</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56,596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126,244</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308,806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Unallocated corporate overhead</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88,356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Depreciation (included in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019925" cy="141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9925"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Share-based compensation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Gain on sale of disposal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019925" cy="141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9925"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Goodwill impairment losses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Long-lived assets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019925" cy="141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9925"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Interest expense, net,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019925" cy="166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19925" cy="16637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before income taxes</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Times New Roman" w:cs="Times New Roman" w:eastAsia="Times New Roman" w:hAnsi="Times New Roman"/>
          <w:sz w:val="17"/>
          <w:szCs w:val="17"/>
          <w:color w:val="auto"/>
        </w:rPr>
        <w:t>147,869</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color w:val="auto"/>
        </w:rPr>
        <w:t>8,731</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color w:val="auto"/>
        </w:rPr>
        <w:t>30,683</w:t>
      </w:r>
    </w:p>
    <w:p>
      <w:pPr>
        <w:spacing w:after="0" w:line="27"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7"/>
          <w:szCs w:val="17"/>
          <w:color w:val="auto"/>
        </w:rPr>
        <w:t>(39,138)</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color w:val="auto"/>
        </w:rPr>
        <w:t>109,515</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color w:val="auto"/>
        </w:rPr>
        <w:t>18,262</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7"/>
          <w:szCs w:val="17"/>
          <w:color w:val="auto"/>
        </w:rPr>
        <w:t>45,591</w:t>
      </w:r>
    </w:p>
    <w:p>
      <w:pPr>
        <w:spacing w:after="0" w:line="36" w:lineRule="exact"/>
        <w:rPr>
          <w:sz w:val="20"/>
          <w:szCs w:val="20"/>
          <w:color w:val="auto"/>
        </w:rPr>
      </w:pPr>
    </w:p>
    <w:p>
      <w:pPr>
        <w:ind w:left="920" w:hanging="91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45720</wp:posOffset>
            </wp:positionV>
            <wp:extent cx="10490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00" w:space="720"/>
            <w:col w:w="1820"/>
          </w:cols>
          <w:pgMar w:left="320" w:top="121" w:right="339"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Nurse and Allied Solutions</w:t>
            </w:r>
          </w:p>
        </w:tc>
        <w:tc>
          <w:tcPr>
            <w:tcW w:w="178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rPr>
              <w:t>Physician and Leadership</w:t>
            </w:r>
          </w:p>
        </w:tc>
        <w:tc>
          <w:tcPr>
            <w:tcW w:w="140" w:type="dxa"/>
            <w:vAlign w:val="bottom"/>
          </w:tcPr>
          <w:p>
            <w:pPr>
              <w:spacing w:after="0"/>
              <w:rPr>
                <w:sz w:val="10"/>
                <w:szCs w:val="10"/>
                <w:color w:val="auto"/>
              </w:rPr>
            </w:pPr>
          </w:p>
        </w:tc>
        <w:tc>
          <w:tcPr>
            <w:tcW w:w="16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Technology and</w:t>
            </w:r>
          </w:p>
        </w:tc>
        <w:tc>
          <w:tcPr>
            <w:tcW w:w="400" w:type="dxa"/>
            <w:vAlign w:val="bottom"/>
          </w:tcPr>
          <w:p>
            <w:pPr>
              <w:spacing w:after="0"/>
              <w:rPr>
                <w:sz w:val="10"/>
                <w:szCs w:val="10"/>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Workforce Solutions</w:t>
            </w:r>
          </w:p>
        </w:tc>
        <w:tc>
          <w:tcPr>
            <w:tcW w:w="4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1,815,718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728,608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439,455</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2,983,781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1,371,660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511,959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180,786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2,064,405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444,058</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258,669</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919,376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selling, general and administrative expenses</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91,590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(included in cost of revenue)</w:t>
            </w:r>
          </w:p>
        </w:tc>
        <w:tc>
          <w:tcPr>
            <w:tcW w:w="5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173,591</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79,049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173,755</w:t>
            </w: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426,395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Unallocated corporate overhead</w:t>
            </w: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109,515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(included in cost of revenue)</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net, and other</w:t>
            </w:r>
          </w:p>
        </w:tc>
        <w:tc>
          <w:tcPr>
            <w:tcW w:w="5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(172,574)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080" w:type="dxa"/>
            <w:vAlign w:val="bottom"/>
          </w:tcPr>
          <w:p>
            <w:pPr>
              <w:spacing w:after="0"/>
              <w:rPr>
                <w:sz w:val="10"/>
                <w:szCs w:val="10"/>
                <w:color w:val="auto"/>
              </w:rPr>
            </w:pPr>
          </w:p>
        </w:tc>
        <w:tc>
          <w:tcPr>
            <w:tcW w:w="1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Nurse and Allied Solutions</w:t>
            </w:r>
          </w:p>
        </w:tc>
        <w:tc>
          <w:tcPr>
            <w:tcW w:w="1800" w:type="dxa"/>
            <w:vAlign w:val="bottom"/>
            <w:gridSpan w:val="6"/>
          </w:tcPr>
          <w:p>
            <w:pPr>
              <w:jc w:val="center"/>
              <w:ind w:right="160"/>
              <w:spacing w:after="0" w:line="126" w:lineRule="exact"/>
              <w:rPr>
                <w:sz w:val="20"/>
                <w:szCs w:val="20"/>
                <w:color w:val="auto"/>
              </w:rPr>
            </w:pPr>
            <w:r>
              <w:rPr>
                <w:rFonts w:ascii="Times New Roman" w:cs="Times New Roman" w:eastAsia="Times New Roman" w:hAnsi="Times New Roman"/>
                <w:sz w:val="14"/>
                <w:szCs w:val="14"/>
                <w:b w:val="1"/>
                <w:bCs w:val="1"/>
                <w:color w:val="auto"/>
              </w:rPr>
              <w:t>Physician and Leadership</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jc w:val="right"/>
              <w:ind w:right="4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Technology and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7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Workforce Solutions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2,624,509</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669,701</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495,044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3,789,254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1,932,099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440,230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167,344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2,539,673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692,410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229,471</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327,700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1,249,581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selling, general and administrative expenses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330,252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583,734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Depreciation (included in cost of revenue)</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operating income</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362,158</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94,966</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214,736</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671,860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Unallocated corporate overhead</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146,682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(included in cost of revenue)</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Long-lived assets impairment losses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net, and other</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gridSpan w:val="8"/>
            <w:vMerge w:val="restart"/>
          </w:tcPr>
          <w:p>
            <w:pPr>
              <w:ind w:left="400"/>
              <w:spacing w:after="0"/>
              <w:rPr>
                <w:sz w:val="20"/>
                <w:szCs w:val="20"/>
                <w:color w:val="auto"/>
              </w:rPr>
            </w:pPr>
            <w:r>
              <w:rPr>
                <w:rFonts w:ascii="Times New Roman" w:cs="Times New Roman" w:eastAsia="Times New Roman" w:hAnsi="Times New Roman"/>
                <w:sz w:val="17"/>
                <w:szCs w:val="17"/>
                <w:color w:val="auto"/>
              </w:rPr>
              <w:t>The following tables present the Company’s revenue disaggregated by service type:</w:t>
            </w: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320" w:type="dxa"/>
            <w:vAlign w:val="bottom"/>
            <w:gridSpan w:val="8"/>
            <w:vMerge w:val="continue"/>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8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Physician and Leadership</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jc w:val="right"/>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Technology and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Nurse and Allied Solutions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Workforce Solutions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Travel nurse staffing</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827,677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827,677</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Labor disruption services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191,190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191,190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Local staffing</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36,811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36,811</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Allied staffing</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582,318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582,318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Locum tenens staffing</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565,169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565,169</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Interim leadership staffing</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93,917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93,917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Temporary staffing</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1,637,996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659,086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2,297,082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Permanent placement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37,276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46,598</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Language services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295,514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295,514</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Vendor management systems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71,673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71,673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technologies</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8,677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8,677</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Technology-enabled services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375,864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375,864</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Talent planning and acquisition</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10,885</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10,885</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1,647,318</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696,362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386,749</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2,730,429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Nurse and Allied Solutions</w:t>
            </w:r>
          </w:p>
        </w:tc>
        <w:tc>
          <w:tcPr>
            <w:tcW w:w="1780" w:type="dxa"/>
            <w:vAlign w:val="bottom"/>
            <w:gridSpan w:val="3"/>
          </w:tcPr>
          <w:p>
            <w:pPr>
              <w:jc w:val="center"/>
              <w:ind w:right="1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Physician and Leadership</w:t>
            </w:r>
          </w:p>
        </w:tc>
        <w:tc>
          <w:tcPr>
            <w:tcW w:w="140" w:type="dxa"/>
            <w:vAlign w:val="bottom"/>
          </w:tcPr>
          <w:p>
            <w:pPr>
              <w:spacing w:after="0"/>
              <w:rPr>
                <w:sz w:val="10"/>
                <w:szCs w:val="10"/>
                <w:color w:val="auto"/>
              </w:rPr>
            </w:pPr>
          </w:p>
        </w:tc>
        <w:tc>
          <w:tcPr>
            <w:tcW w:w="16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Technology and</w:t>
            </w:r>
          </w:p>
        </w:tc>
        <w:tc>
          <w:tcPr>
            <w:tcW w:w="380" w:type="dxa"/>
            <w:vAlign w:val="bottom"/>
          </w:tcPr>
          <w:p>
            <w:pPr>
              <w:spacing w:after="0"/>
              <w:rPr>
                <w:sz w:val="10"/>
                <w:szCs w:val="10"/>
                <w:color w:val="auto"/>
              </w:rPr>
            </w:pPr>
          </w:p>
        </w:tc>
        <w:tc>
          <w:tcPr>
            <w:tcW w:w="126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Workforce Solutions</w:t>
            </w: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Travel nurse staffing</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1,084,398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1,084,398</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Labor disruption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Local staffing</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45,517</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Allied staffing</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610,661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610,661</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Locum tenens staffing</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566,351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566,351</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Interim leadership staffing</w:t>
            </w:r>
          </w:p>
        </w:tc>
        <w:tc>
          <w:tcPr>
            <w:tcW w:w="4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115,672</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Temporary staffing</w:t>
            </w: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1,803,892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682,023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2,485,915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Permanent placement </w:t>
            </w:r>
            <w:r>
              <w:rPr>
                <w:rFonts w:ascii="Times New Roman" w:cs="Times New Roman" w:eastAsia="Times New Roman" w:hAnsi="Times New Roman"/>
                <w:sz w:val="22"/>
                <w:szCs w:val="22"/>
                <w:color w:val="auto"/>
                <w:vertAlign w:val="superscript"/>
              </w:rPr>
              <w:t>(1)</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58,411</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Language services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298,241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298,241</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Vendor management systems</w:t>
            </w:r>
          </w:p>
        </w:tc>
        <w:tc>
          <w:tcPr>
            <w:tcW w:w="4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104,277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104,277</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technologies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Technology-enabled services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421,023</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421,023</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Talent planning and acquisition</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18,432</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1,815,718</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728,608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439,455</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2,983,781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280" w:type="dxa"/>
            <w:vAlign w:val="bottom"/>
          </w:tcPr>
          <w:p>
            <w:pPr>
              <w:spacing w:after="0"/>
              <w:rPr>
                <w:sz w:val="10"/>
                <w:szCs w:val="10"/>
                <w:color w:val="auto"/>
              </w:rPr>
            </w:pPr>
          </w:p>
        </w:tc>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Nurse and Allied Solutions</w:t>
            </w:r>
          </w:p>
        </w:tc>
        <w:tc>
          <w:tcPr>
            <w:tcW w:w="1780" w:type="dxa"/>
            <w:vAlign w:val="bottom"/>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9"/>
              </w:rPr>
              <w:t>Physician and Leadership</w:t>
            </w:r>
          </w:p>
        </w:tc>
        <w:tc>
          <w:tcPr>
            <w:tcW w:w="140" w:type="dxa"/>
            <w:vAlign w:val="bottom"/>
          </w:tcPr>
          <w:p>
            <w:pPr>
              <w:spacing w:after="0"/>
              <w:rPr>
                <w:sz w:val="10"/>
                <w:szCs w:val="10"/>
                <w:color w:val="auto"/>
              </w:rPr>
            </w:pPr>
          </w:p>
        </w:tc>
        <w:tc>
          <w:tcPr>
            <w:tcW w:w="16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Technology and</w:t>
            </w:r>
          </w:p>
        </w:tc>
        <w:tc>
          <w:tcPr>
            <w:tcW w:w="380" w:type="dxa"/>
            <w:vAlign w:val="bottom"/>
          </w:tcPr>
          <w:p>
            <w:pPr>
              <w:spacing w:after="0"/>
              <w:rPr>
                <w:sz w:val="10"/>
                <w:szCs w:val="10"/>
                <w:color w:val="auto"/>
              </w:rPr>
            </w:pPr>
          </w:p>
        </w:tc>
        <w:tc>
          <w:tcPr>
            <w:tcW w:w="126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Workforce Solutions</w:t>
            </w: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Travel nurse staffing</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1,806,653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1,806,653</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Labor disruption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13,303</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Local staffing</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76,553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76,553</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Allied staffing</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709,632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709,632</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Locum tenens staffing</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464,797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464,797</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Interim leadership staffing</w:t>
            </w:r>
          </w:p>
        </w:tc>
        <w:tc>
          <w:tcPr>
            <w:tcW w:w="4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136,953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136,953</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Temporary staffing</w:t>
            </w: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2,606,141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601,750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3,207,891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Permanent placement </w:t>
            </w:r>
            <w:r>
              <w:rPr>
                <w:rFonts w:ascii="Times New Roman" w:cs="Times New Roman" w:eastAsia="Times New Roman" w:hAnsi="Times New Roman"/>
                <w:sz w:val="22"/>
                <w:szCs w:val="22"/>
                <w:color w:val="auto"/>
                <w:vertAlign w:val="superscript"/>
              </w:rPr>
              <w:t>(1)</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86,319</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Language services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260,121</w:t>
            </w:r>
          </w:p>
        </w:tc>
        <w:tc>
          <w:tcPr>
            <w:tcW w:w="0" w:type="dxa"/>
            <w:vAlign w:val="bottom"/>
          </w:tcPr>
          <w:p>
            <w:pPr>
              <w:spacing w:after="0"/>
              <w:rPr>
                <w:sz w:val="1"/>
                <w:szCs w:val="1"/>
                <w:color w:val="auto"/>
              </w:rPr>
            </w:pPr>
          </w:p>
        </w:tc>
      </w:tr>
      <w:tr>
        <w:trPr>
          <w:trHeight w:val="223"/>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Vendor management systems</w:t>
            </w:r>
          </w:p>
        </w:tc>
        <w:tc>
          <w:tcPr>
            <w:tcW w:w="4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169,370</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technologies</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20,235</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Technology-enabled services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449,726</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449,726</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Talent planning and acquisition</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45,318</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2,624,509</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669,701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495,044</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3,789,254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revenue from international nurse permanent placement, physician permanent placement, and executive search.</w:t>
      </w:r>
    </w:p>
    <w:p>
      <w:pPr>
        <w:spacing w:after="0" w:line="3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Company’s international nurse revenue by service type: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7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nurse staffing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208,132</w:t>
            </w:r>
          </w:p>
        </w:tc>
      </w:tr>
      <w:tr>
        <w:trPr>
          <w:trHeight w:val="223"/>
        </w:trPr>
        <w:tc>
          <w:tcPr>
            <w:tcW w:w="67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International nurse permanent placement </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18,368</w:t>
            </w:r>
          </w:p>
        </w:tc>
      </w:tr>
      <w:tr>
        <w:trPr>
          <w:trHeight w:val="241"/>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international nurse revenue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226,500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00" w:hanging="195"/>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“Travel nurse staffing” as presented in the preceding tables.</w:t>
      </w:r>
    </w:p>
    <w:p>
      <w:pPr>
        <w:spacing w:after="0" w:line="8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“Permanent placement” as presented in the preceding tables.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 Reclassifications</w:t>
      </w:r>
    </w:p>
    <w:p>
      <w:pPr>
        <w:spacing w:after="0" w:line="254" w:lineRule="exact"/>
        <w:rPr>
          <w:sz w:val="20"/>
          <w:szCs w:val="20"/>
          <w:color w:val="auto"/>
        </w:rPr>
      </w:pPr>
    </w:p>
    <w:p>
      <w:pPr>
        <w:ind w:right="480" w:firstLine="393"/>
        <w:spacing w:after="0" w:line="277" w:lineRule="auto"/>
        <w:rPr>
          <w:sz w:val="20"/>
          <w:szCs w:val="20"/>
          <w:color w:val="auto"/>
        </w:rPr>
      </w:pPr>
      <w:r>
        <w:rPr>
          <w:rFonts w:ascii="Times New Roman" w:cs="Times New Roman" w:eastAsia="Times New Roman" w:hAnsi="Times New Roman"/>
          <w:sz w:val="17"/>
          <w:szCs w:val="17"/>
          <w:color w:val="auto"/>
        </w:rPr>
        <w:t xml:space="preserve">To conform to the current year presentation, certain reclassifications have been made to prior year amounts in the consolidated statements of comprehensive income (loss) and accompanying notes - </w:t>
      </w:r>
      <w:r>
        <w:rPr>
          <w:rFonts w:ascii="Times New Roman" w:cs="Times New Roman" w:eastAsia="Times New Roman" w:hAnsi="Times New Roman"/>
          <w:sz w:val="17"/>
          <w:szCs w:val="17"/>
          <w:u w:val="single" w:color="auto"/>
          <w:color w:val="0000FF"/>
        </w:rPr>
        <w:t>Note (1)</w:t>
      </w:r>
      <w:r>
        <w:rPr>
          <w:rFonts w:ascii="Times New Roman" w:cs="Times New Roman" w:eastAsia="Times New Roman" w:hAnsi="Times New Roman"/>
          <w:sz w:val="17"/>
          <w:szCs w:val="17"/>
          <w:color w:val="auto"/>
        </w:rPr>
        <w:t xml:space="preserve">(t) “Summary of Significant Accounting Policies - Segment Information” and </w:t>
      </w:r>
      <w:r>
        <w:rPr>
          <w:rFonts w:ascii="Times New Roman" w:cs="Times New Roman" w:eastAsia="Times New Roman" w:hAnsi="Times New Roman"/>
          <w:sz w:val="17"/>
          <w:szCs w:val="17"/>
          <w:u w:val="single" w:color="auto"/>
          <w:color w:val="0000FF"/>
        </w:rPr>
        <w:t>Note (7)</w:t>
      </w:r>
      <w:r>
        <w:rPr>
          <w:rFonts w:ascii="Times New Roman" w:cs="Times New Roman" w:eastAsia="Times New Roman" w:hAnsi="Times New Roman"/>
          <w:sz w:val="17"/>
          <w:szCs w:val="17"/>
          <w:color w:val="auto"/>
        </w:rPr>
        <w:t>, “Balance Sheet Details”.</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 Recently Adopted Accounting Pronouncements</w:t>
      </w:r>
    </w:p>
    <w:p>
      <w:pPr>
        <w:spacing w:after="0" w:line="163" w:lineRule="exact"/>
        <w:rPr>
          <w:sz w:val="20"/>
          <w:szCs w:val="20"/>
          <w:color w:val="auto"/>
        </w:rPr>
      </w:pPr>
    </w:p>
    <w:p>
      <w:pPr>
        <w:ind w:right="20" w:firstLine="393"/>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“Income Taxes (Topic 740): Improvements to Income Tax Disclosures,” which requires disclosure of disaggregation of the rate reconciliation and additional information on income taxes paid disaggregated by jurisdiction. The Company adopted this standard on a retrospective basis for the year ended December 31, 2025. See </w:t>
      </w:r>
      <w:r>
        <w:rPr>
          <w:rFonts w:ascii="Times New Roman" w:cs="Times New Roman" w:eastAsia="Times New Roman" w:hAnsi="Times New Roman"/>
          <w:sz w:val="17"/>
          <w:szCs w:val="17"/>
          <w:u w:val="single" w:color="auto"/>
          <w:color w:val="0000FF"/>
        </w:rPr>
        <w:t>Note (8)</w:t>
      </w:r>
      <w:r>
        <w:rPr>
          <w:rFonts w:ascii="Times New Roman" w:cs="Times New Roman" w:eastAsia="Times New Roman" w:hAnsi="Times New Roman"/>
          <w:sz w:val="17"/>
          <w:szCs w:val="17"/>
          <w:color w:val="auto"/>
        </w:rPr>
        <w:t>, “Income Taxes” for the new disclosure requirements. The adoption of this standard did not have a material impact on our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Acquisitions</w:t>
      </w:r>
    </w:p>
    <w:p>
      <w:pPr>
        <w:spacing w:after="0" w:line="174" w:lineRule="exact"/>
        <w:rPr>
          <w:sz w:val="20"/>
          <w:szCs w:val="20"/>
          <w:color w:val="auto"/>
        </w:rPr>
      </w:pPr>
    </w:p>
    <w:p>
      <w:pPr>
        <w:ind w:firstLine="393"/>
        <w:spacing w:after="0" w:line="264" w:lineRule="auto"/>
        <w:rPr>
          <w:sz w:val="20"/>
          <w:szCs w:val="20"/>
          <w:color w:val="auto"/>
        </w:rPr>
      </w:pPr>
      <w:r>
        <w:rPr>
          <w:rFonts w:ascii="Times New Roman" w:cs="Times New Roman" w:eastAsia="Times New Roman" w:hAnsi="Times New Roman"/>
          <w:sz w:val="17"/>
          <w:szCs w:val="17"/>
          <w:color w:val="auto"/>
        </w:rPr>
        <w:t>The Company accounted for the acquisition set forth below using the acquisition method of accounting. Accordingly, the Company recorded the tangible and intangible assets acquired and liabilities assumed at their estimated fair values as of the applicable date of acquisition. Since the date of acquisition, the Company has revised the allocation of the purchase price to the tangible and intangible assets acquired and liabilities assumed based on analysis of information that has been made available through December 31, 2025 or the end of the one-year measurement period, whichever is earlier. The goodwill recognized for the acquisition is attributable to expected growth as the Company leverages its brand and diversifies its services offered to clients, including potential revenue growth and margin expansion. The Company recognizes acquisition-related costs in selling, general and administrative expenses in the consolidated statements of comprehensive income (loss). For the acquisition, the Company did not incur any material acquisition-related costs.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MSDR Acquisition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November 30, 2023, the Company completed its acquisition of MSI Systems Corp. and DrWanted.com LLC (together, “MSDR”), two healthcare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staffing companies that specialize in locum tenens and advanced practice. The initial purchase price of $292,818 consisted entirely of cash consideration paid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acquisition. The acquisition was funded through borrowings under the Company’s secured revolving credit facility, which had total commitments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$750,000 at the time of the acquisition (the “Senior Credit Facility”), provided for under the Amended Credit Agreement (as defined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xml:space="preserve"> below).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results of MSDR have been included in the Company’s physician and leadership solutions segment since the date of acquisition. During the second quarter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$1,649 was returned to the Company in respect of the final working capital settlement.</w:t>
      </w:r>
    </w:p>
    <w:p>
      <w:pPr>
        <w:spacing w:after="0" w:line="154" w:lineRule="exact"/>
        <w:rPr>
          <w:sz w:val="20"/>
          <w:szCs w:val="20"/>
          <w:color w:val="auto"/>
        </w:rPr>
      </w:pPr>
    </w:p>
    <w:p>
      <w:pPr>
        <w:ind w:right="140" w:firstLine="393"/>
        <w:spacing w:after="0" w:line="267" w:lineRule="auto"/>
        <w:rPr>
          <w:sz w:val="20"/>
          <w:szCs w:val="20"/>
          <w:color w:val="auto"/>
        </w:rPr>
      </w:pPr>
      <w:r>
        <w:rPr>
          <w:rFonts w:ascii="Times New Roman" w:cs="Times New Roman" w:eastAsia="Times New Roman" w:hAnsi="Times New Roman"/>
          <w:sz w:val="17"/>
          <w:szCs w:val="17"/>
          <w:color w:val="auto"/>
        </w:rPr>
        <w:t>The allocation of the $291,169 purchase price, which was reduced by the final working capital settlement and was finalized during the fourth quarter of 2024, consisted of (1) $41,406 of fair value of tangible assets acquired, which included $562 cash received, (2) $26,371 of liabilities assumed, (3) $92,000 of identified intangible assets, and (4) $184,134 of goodwill, of which $94,762 is deductible for tax purposes. The intangible assets acquired have a weighted average useful life of approximately seven years. The following table summarizes the fair value and useful life of each intangible asset acquired as of the acquisition date:</w:t>
      </w:r>
    </w:p>
    <w:p>
      <w:pPr>
        <w:spacing w:after="0" w:line="152" w:lineRule="exact"/>
        <w:rPr>
          <w:sz w:val="20"/>
          <w:szCs w:val="20"/>
          <w:color w:val="auto"/>
        </w:rPr>
      </w:pPr>
    </w:p>
    <w:tbl>
      <w:tblPr>
        <w:tblLayout w:type="fixed"/>
        <w:tblInd w:w="166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4"/>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Identifiable intangible assets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41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54,300</w:t>
            </w:r>
          </w:p>
        </w:tc>
        <w:tc>
          <w:tcPr>
            <w:tcW w:w="1480" w:type="dxa"/>
            <w:vAlign w:val="bottom"/>
            <w:gridSpan w:val="2"/>
          </w:tcPr>
          <w:p>
            <w:pPr>
              <w:jc w:val="center"/>
              <w:ind w:left="253"/>
              <w:spacing w:after="0"/>
              <w:rPr>
                <w:sz w:val="20"/>
                <w:szCs w:val="20"/>
                <w:color w:val="auto"/>
              </w:rPr>
            </w:pPr>
            <w:r>
              <w:rPr>
                <w:rFonts w:ascii="Times New Roman" w:cs="Times New Roman" w:eastAsia="Times New Roman" w:hAnsi="Times New Roman"/>
                <w:sz w:val="17"/>
                <w:szCs w:val="17"/>
                <w:color w:val="auto"/>
              </w:rPr>
              <w:t>7 - 10</w:t>
            </w:r>
          </w:p>
        </w:tc>
      </w:tr>
      <w:tr>
        <w:trPr>
          <w:trHeight w:val="223"/>
        </w:trPr>
        <w:tc>
          <w:tcPr>
            <w:tcW w:w="4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Tradenames and trademarks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w:t>
            </w:r>
          </w:p>
        </w:tc>
        <w:tc>
          <w:tcPr>
            <w:tcW w:w="148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41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7"/>
                <w:szCs w:val="17"/>
                <w:color w:val="auto"/>
              </w:rPr>
              <w:t>Staffing databases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11,300</w:t>
            </w:r>
          </w:p>
        </w:tc>
        <w:tc>
          <w:tcPr>
            <w:tcW w:w="1480" w:type="dxa"/>
            <w:vAlign w:val="bottom"/>
            <w:tcBorders>
              <w:bottom w:val="single" w:sz="8" w:color="CCEEFF"/>
            </w:tcBorders>
            <w:gridSpan w:val="2"/>
          </w:tcPr>
          <w:p>
            <w:pPr>
              <w:jc w:val="center"/>
              <w:ind w:left="253"/>
              <w:spacing w:after="0"/>
              <w:rPr>
                <w:sz w:val="20"/>
                <w:szCs w:val="20"/>
                <w:color w:val="auto"/>
              </w:rPr>
            </w:pPr>
            <w:r>
              <w:rPr>
                <w:rFonts w:ascii="Times New Roman" w:cs="Times New Roman" w:eastAsia="Times New Roman" w:hAnsi="Times New Roman"/>
                <w:sz w:val="17"/>
                <w:szCs w:val="17"/>
                <w:color w:val="auto"/>
              </w:rPr>
              <w:t>5</w:t>
            </w:r>
          </w:p>
        </w:tc>
      </w:tr>
      <w:tr>
        <w:trPr>
          <w:trHeight w:val="241"/>
        </w:trPr>
        <w:tc>
          <w:tcPr>
            <w:tcW w:w="4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92,000</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Sale of Disposal Group</w:t>
      </w:r>
    </w:p>
    <w:p>
      <w:pPr>
        <w:spacing w:after="0" w:line="252"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On July 1, 2025, the Company completed the sale of its Smart Square healthcare scheduling software, a service offering of the Company’s workforce optimization business within its technology and workforce solutions segment. As a result of the sale, the Company received cash consideration of $65,320 and is owed a 9.000% promissory note of $10,000 (the “2027 Note Receivable”) payable on January 1, 2027. During the year ended December 31, 2025, the Company recognized a net gain of $39,138 as a result of the sale, which includes a $42 final working capital settlement that was paid by the Company during the fourth quarter of 2025.</w:t>
      </w:r>
    </w:p>
    <w:p>
      <w:pPr>
        <w:spacing w:after="0" w:line="119" w:lineRule="exact"/>
        <w:rPr>
          <w:sz w:val="20"/>
          <w:szCs w:val="20"/>
          <w:color w:val="auto"/>
        </w:rPr>
      </w:pPr>
    </w:p>
    <w:p>
      <w:pPr>
        <w:jc w:val="both"/>
        <w:ind w:right="100" w:firstLine="393"/>
        <w:spacing w:after="0" w:line="289" w:lineRule="auto"/>
        <w:rPr>
          <w:sz w:val="20"/>
          <w:szCs w:val="20"/>
          <w:color w:val="auto"/>
        </w:rPr>
      </w:pPr>
      <w:r>
        <w:rPr>
          <w:rFonts w:ascii="Times New Roman" w:cs="Times New Roman" w:eastAsia="Times New Roman" w:hAnsi="Times New Roman"/>
          <w:sz w:val="17"/>
          <w:szCs w:val="17"/>
          <w:color w:val="auto"/>
        </w:rPr>
        <w:t>Assets sold and the related liabilities transferred as part of those transactions (“disposal groups”) were measured at the lower of their carrying amount or fair value less costs to sell. Goodwill was allocated based on the relative fair values of the disposal group and the technology and workforce solutions reporting unit.</w:t>
      </w: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assets disposed of and the liabilities transferred as a result of the sale:</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23"/>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w:t>
            </w:r>
          </w:p>
        </w:tc>
      </w:tr>
      <w:tr>
        <w:trPr>
          <w:trHeight w:val="223"/>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Fixed assets, net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r>
      <w:tr>
        <w:trPr>
          <w:trHeight w:val="223"/>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Intangible assets,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w:t>
            </w:r>
          </w:p>
        </w:tc>
      </w:tr>
      <w:tr>
        <w:trPr>
          <w:trHeight w:val="223"/>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Goodwill</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32,132</w:t>
            </w:r>
          </w:p>
        </w:tc>
      </w:tr>
      <w:tr>
        <w:trPr>
          <w:trHeight w:val="223"/>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41"/>
        </w:trPr>
        <w:tc>
          <w:tcPr>
            <w:tcW w:w="7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assets disposed</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7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3"/>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6,540</w:t>
            </w:r>
          </w:p>
        </w:tc>
      </w:tr>
      <w:tr>
        <w:trPr>
          <w:trHeight w:val="216"/>
        </w:trPr>
        <w:tc>
          <w:tcPr>
            <w:tcW w:w="72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liabilities transferred</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6,632</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140" w:firstLine="393"/>
        <w:spacing w:after="0" w:line="297" w:lineRule="auto"/>
        <w:rPr>
          <w:sz w:val="20"/>
          <w:szCs w:val="20"/>
          <w:color w:val="auto"/>
        </w:rPr>
      </w:pPr>
      <w:r>
        <w:rPr>
          <w:rFonts w:ascii="Times New Roman" w:cs="Times New Roman" w:eastAsia="Times New Roman" w:hAnsi="Times New Roman"/>
          <w:sz w:val="17"/>
          <w:szCs w:val="17"/>
          <w:color w:val="auto"/>
        </w:rPr>
        <w:t>The Company determined that the sale of Smart Square does not represent a strategic shift that will have a major effect on the Company’s operations and financial results. As such, the disposal group does not meet the criteria for reporting in discontinued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w:t>
      </w:r>
    </w:p>
    <w:p>
      <w:pPr>
        <w:spacing w:after="0" w:line="174"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Fair value represents the price that would be received for an asset or paid to transfer a liability (an exit price) in the principal or most advantageous market for the asset or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96" w:lineRule="exact"/>
        <w:rPr>
          <w:sz w:val="20"/>
          <w:szCs w:val="20"/>
          <w:color w:val="auto"/>
        </w:rPr>
      </w:pPr>
    </w:p>
    <w:p>
      <w:pPr>
        <w:ind w:right="200" w:firstLine="393"/>
        <w:spacing w:after="0" w:line="297" w:lineRule="auto"/>
        <w:rPr>
          <w:sz w:val="20"/>
          <w:szCs w:val="20"/>
          <w:color w:val="auto"/>
        </w:rPr>
      </w:pPr>
      <w:r>
        <w:rPr>
          <w:rFonts w:ascii="Times New Roman" w:cs="Times New Roman" w:eastAsia="Times New Roman" w:hAnsi="Times New Roman"/>
          <w:sz w:val="17"/>
          <w:szCs w:val="17"/>
          <w:color w:val="auto"/>
        </w:rPr>
        <w:t>A three-level hierarchy prioritizes the inputs to valuation techniques used to measure fair value and requires an entity to maximize the use of observable inputs and minimize the use of unobservable inputs when measuring fair value. The three levels of the fair value hierarchy are as follows: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85" w:lineRule="exact"/>
        <w:rPr>
          <w:sz w:val="20"/>
          <w:szCs w:val="20"/>
          <w:color w:val="auto"/>
        </w:rPr>
      </w:pPr>
    </w:p>
    <w:p>
      <w:pPr>
        <w:ind w:right="100" w:firstLine="433"/>
        <w:spacing w:after="0" w:line="299"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inputs that are observable or can be corroborated by observable market data for substantially the full term of the assets or liabilities.</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transfers between the three levels of the fair value hierarchy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on a Recurring Basis</w:t>
      </w:r>
    </w:p>
    <w:p>
      <w:pPr>
        <w:spacing w:after="0" w:line="189"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From time to time, the Company invests a portion of its cash and cash equivalents in non-federally insured money market funds that are measured at fair value based on quoted prices, which are Level 1 inputs.</w:t>
      </w:r>
    </w:p>
    <w:p>
      <w:pPr>
        <w:spacing w:after="0" w:line="172" w:lineRule="exact"/>
        <w:rPr>
          <w:sz w:val="20"/>
          <w:szCs w:val="20"/>
          <w:color w:val="auto"/>
        </w:rPr>
      </w:pPr>
    </w:p>
    <w:p>
      <w:pPr>
        <w:ind w:right="480" w:firstLine="433"/>
        <w:spacing w:after="0" w:line="297" w:lineRule="auto"/>
        <w:rPr>
          <w:sz w:val="20"/>
          <w:szCs w:val="20"/>
          <w:color w:val="auto"/>
        </w:rPr>
      </w:pPr>
      <w:r>
        <w:rPr>
          <w:rFonts w:ascii="Times New Roman" w:cs="Times New Roman" w:eastAsia="Times New Roman" w:hAnsi="Times New Roman"/>
          <w:sz w:val="17"/>
          <w:szCs w:val="17"/>
          <w:color w:val="auto"/>
        </w:rPr>
        <w:t xml:space="preserve">The Company’s obligation under its deferred compensation plan is measured at fair value based on quoted market prices of the participants’ elected investments, which are Level 1 inputs. The deferred compensation plan is more fully described in </w:t>
      </w:r>
      <w:r>
        <w:rPr>
          <w:rFonts w:ascii="Times New Roman" w:cs="Times New Roman" w:eastAsia="Times New Roman" w:hAnsi="Times New Roman"/>
          <w:sz w:val="17"/>
          <w:szCs w:val="17"/>
          <w:u w:val="single" w:color="auto"/>
          <w:color w:val="0000FF"/>
        </w:rPr>
        <w:t>Note (10)</w:t>
      </w:r>
      <w:r>
        <w:rPr>
          <w:rFonts w:ascii="Times New Roman" w:cs="Times New Roman" w:eastAsia="Times New Roman" w:hAnsi="Times New Roman"/>
          <w:sz w:val="17"/>
          <w:szCs w:val="17"/>
          <w:color w:val="auto"/>
        </w:rPr>
        <w:t>, “Retirement Plans.”</w:t>
      </w:r>
    </w:p>
    <w:p>
      <w:pPr>
        <w:spacing w:after="0" w:line="172" w:lineRule="exact"/>
        <w:rPr>
          <w:sz w:val="20"/>
          <w:szCs w:val="20"/>
          <w:color w:val="auto"/>
        </w:rPr>
      </w:pPr>
    </w:p>
    <w:p>
      <w:pPr>
        <w:ind w:right="200" w:firstLine="433"/>
        <w:spacing w:after="0" w:line="269" w:lineRule="auto"/>
        <w:rPr>
          <w:sz w:val="20"/>
          <w:szCs w:val="20"/>
          <w:color w:val="auto"/>
        </w:rPr>
      </w:pPr>
      <w:r>
        <w:rPr>
          <w:rFonts w:ascii="Times New Roman" w:cs="Times New Roman" w:eastAsia="Times New Roman" w:hAnsi="Times New Roman"/>
          <w:sz w:val="17"/>
          <w:szCs w:val="17"/>
          <w:color w:val="auto"/>
        </w:rPr>
        <w:t>The Company’s restricted cash equivalents and investments that serve as collateral for the Company’s captive insurance company include commercial paper and corporate bonds. The commercial paper is measured at observable market prices for identical securities that are traded in less active markets, which are Level 2 inputs. The corporate bonds are measured using readily available pricing sources that utilize observable market data, including the current interest rate for comparable instruments, which are Level 2 inputs. The following table presents the fair value of commercial paper and corporate bonds issued and outstanding:</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6"/>
                <w:szCs w:val="16"/>
                <w:color w:val="auto"/>
              </w:rPr>
            </w:pPr>
          </w:p>
        </w:tc>
        <w:tc>
          <w:tcPr>
            <w:tcW w:w="1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64,580</w:t>
            </w:r>
          </w:p>
        </w:tc>
      </w:tr>
      <w:tr>
        <w:trPr>
          <w:trHeight w:val="216"/>
        </w:trPr>
        <w:tc>
          <w:tcPr>
            <w:tcW w:w="6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classified as restricted cash equivalents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64,580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1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6,769</w:t>
            </w:r>
          </w:p>
        </w:tc>
      </w:tr>
      <w:tr>
        <w:trPr>
          <w:trHeight w:val="241"/>
        </w:trPr>
        <w:tc>
          <w:tcPr>
            <w:tcW w:w="6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classified as restricted investments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fair value of our available-for-sale securities as of December 31, 2025, by remaining contractual maturities, are presented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30,228</w:t>
            </w:r>
          </w:p>
        </w:tc>
      </w:tr>
      <w:tr>
        <w:trPr>
          <w:trHeight w:val="241"/>
        </w:trPr>
        <w:tc>
          <w:tcPr>
            <w:tcW w:w="9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34,035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680" w:firstLine="433"/>
        <w:spacing w:after="0" w:line="297" w:lineRule="auto"/>
        <w:rPr>
          <w:sz w:val="20"/>
          <w:szCs w:val="20"/>
          <w:color w:val="auto"/>
        </w:rPr>
      </w:pPr>
      <w:r>
        <w:rPr>
          <w:rFonts w:ascii="Times New Roman" w:cs="Times New Roman" w:eastAsia="Times New Roman" w:hAnsi="Times New Roman"/>
          <w:sz w:val="17"/>
          <w:szCs w:val="17"/>
          <w:color w:val="auto"/>
        </w:rPr>
        <w:t>Expected maturities may differ from stated due dates because borrowers may have the ability to call or prepay obligations with or without call or prepayment penalties.</w:t>
      </w:r>
    </w:p>
    <w:p>
      <w:pPr>
        <w:spacing w:after="0" w:line="172" w:lineRule="exact"/>
        <w:rPr>
          <w:sz w:val="20"/>
          <w:szCs w:val="20"/>
          <w:color w:val="auto"/>
        </w:rPr>
      </w:pPr>
    </w:p>
    <w:p>
      <w:pPr>
        <w:ind w:right="180" w:firstLine="433"/>
        <w:spacing w:after="0" w:line="263" w:lineRule="auto"/>
        <w:rPr>
          <w:sz w:val="20"/>
          <w:szCs w:val="20"/>
          <w:color w:val="auto"/>
        </w:rPr>
      </w:pPr>
      <w:r>
        <w:rPr>
          <w:rFonts w:ascii="Times New Roman" w:cs="Times New Roman" w:eastAsia="Times New Roman" w:hAnsi="Times New Roman"/>
          <w:sz w:val="17"/>
          <w:szCs w:val="17"/>
          <w:color w:val="auto"/>
        </w:rPr>
        <w:t>The Company’s contingent consideration liabilities are measured at fair value using probability-weighted discounted cash flow analysis or a simulation-based methodology for the acquired companies, which are Level 3 inputs. The Company recognizes changes to the fair value of its contingent consideration liabilities in selling, general and administrative expenses in the consolidated statements of comprehensive income (loss). There were no assets or liabilities measured on a recurring basis with level 3 inputs outstanding as of December 31, 2025 and 2024.</w:t>
      </w:r>
    </w:p>
    <w:p>
      <w:pPr>
        <w:ind w:right="60" w:firstLine="433"/>
        <w:spacing w:after="0" w:line="275" w:lineRule="auto"/>
        <w:rPr>
          <w:sz w:val="20"/>
          <w:szCs w:val="20"/>
          <w:color w:val="auto"/>
        </w:rPr>
      </w:pPr>
      <w:r>
        <w:rPr>
          <w:rFonts w:ascii="Times New Roman" w:cs="Times New Roman" w:eastAsia="Times New Roman" w:hAnsi="Times New Roman"/>
          <w:sz w:val="17"/>
          <w:szCs w:val="17"/>
          <w:color w:val="auto"/>
        </w:rPr>
        <w:t>The following tables present information about the above-referenced assets and liabilities and indicate the fair value hierarchy of the valuation techniques utilized to determine such fair value: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 Measurements as of December 31, 2025</w:t>
            </w:r>
          </w:p>
        </w:tc>
        <w:tc>
          <w:tcPr>
            <w:tcW w:w="280" w:type="dxa"/>
            <w:vAlign w:val="bottom"/>
          </w:tcPr>
          <w:p>
            <w:pPr>
              <w:spacing w:after="0"/>
              <w:rPr>
                <w:sz w:val="16"/>
                <w:szCs w:val="16"/>
                <w:color w:val="auto"/>
              </w:rPr>
            </w:pPr>
          </w:p>
        </w:tc>
        <w:tc>
          <w:tcPr>
            <w:tcW w:w="3700" w:type="dxa"/>
            <w:vAlign w:val="bottom"/>
            <w:gridSpan w:val="7"/>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w:t>
            </w:r>
          </w:p>
        </w:tc>
        <w:tc>
          <w:tcPr>
            <w:tcW w:w="0" w:type="dxa"/>
            <w:vAlign w:val="bottom"/>
          </w:tcPr>
          <w:p>
            <w:pPr>
              <w:spacing w:after="0"/>
              <w:rPr>
                <w:sz w:val="1"/>
                <w:szCs w:val="1"/>
                <w:color w:val="auto"/>
              </w:rPr>
            </w:pPr>
          </w:p>
        </w:tc>
      </w:tr>
      <w:tr>
        <w:trPr>
          <w:trHeight w:val="24"/>
        </w:trPr>
        <w:tc>
          <w:tcPr>
            <w:tcW w:w="3120" w:type="dxa"/>
            <w:vAlign w:val="bottom"/>
            <w:vMerge w:val="restart"/>
          </w:tcPr>
          <w:p>
            <w:pPr>
              <w:ind w:left="880"/>
              <w:spacing w:after="0"/>
              <w:rPr>
                <w:sz w:val="20"/>
                <w:szCs w:val="20"/>
                <w:color w:val="auto"/>
              </w:rPr>
            </w:pPr>
            <w:r>
              <w:rPr>
                <w:rFonts w:ascii="Times New Roman" w:cs="Times New Roman" w:eastAsia="Times New Roman" w:hAnsi="Times New Roman"/>
                <w:sz w:val="17"/>
                <w:szCs w:val="17"/>
                <w:b w:val="1"/>
                <w:bCs w:val="1"/>
                <w:color w:val="auto"/>
              </w:rPr>
              <w:t>Assets (Liabilities)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400" w:type="dxa"/>
            <w:vAlign w:val="bottom"/>
            <w:gridSpan w:val="3"/>
          </w:tcPr>
          <w:p>
            <w:pPr>
              <w:jc w:val="center"/>
              <w:ind w:right="5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38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(205,390)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(191,006)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2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65,979</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on a Non-Recurring Basis</w:t>
      </w:r>
    </w:p>
    <w:p>
      <w:pPr>
        <w:spacing w:after="0" w:line="189" w:lineRule="exact"/>
        <w:rPr>
          <w:sz w:val="20"/>
          <w:szCs w:val="20"/>
          <w:color w:val="auto"/>
        </w:rPr>
      </w:pPr>
    </w:p>
    <w:p>
      <w:pPr>
        <w:ind w:right="200" w:firstLine="433"/>
        <w:spacing w:after="0" w:line="297" w:lineRule="auto"/>
        <w:rPr>
          <w:sz w:val="20"/>
          <w:szCs w:val="20"/>
          <w:color w:val="auto"/>
        </w:rPr>
      </w:pPr>
      <w:r>
        <w:rPr>
          <w:rFonts w:ascii="Times New Roman" w:cs="Times New Roman" w:eastAsia="Times New Roman" w:hAnsi="Times New Roman"/>
          <w:sz w:val="17"/>
          <w:szCs w:val="17"/>
          <w:color w:val="auto"/>
        </w:rPr>
        <w:t>The Company applies fair value techniques on a non-recurring basis associated with valuing identifiable intangible assets acquired through acquisitions and potential impairment losses related to its goodwill, indefinite-lived intangible assets, long-lived assets, and equity investments.</w:t>
      </w:r>
    </w:p>
    <w:p>
      <w:pPr>
        <w:spacing w:after="0" w:line="172" w:lineRule="exact"/>
        <w:rPr>
          <w:sz w:val="20"/>
          <w:szCs w:val="20"/>
          <w:color w:val="auto"/>
        </w:rPr>
      </w:pPr>
    </w:p>
    <w:p>
      <w:pPr>
        <w:ind w:right="440" w:firstLine="433"/>
        <w:spacing w:after="0" w:line="297" w:lineRule="auto"/>
        <w:rPr>
          <w:sz w:val="20"/>
          <w:szCs w:val="20"/>
          <w:color w:val="auto"/>
        </w:rPr>
      </w:pPr>
      <w:r>
        <w:rPr>
          <w:rFonts w:ascii="Times New Roman" w:cs="Times New Roman" w:eastAsia="Times New Roman" w:hAnsi="Times New Roman"/>
          <w:sz w:val="17"/>
          <w:szCs w:val="17"/>
          <w:color w:val="auto"/>
        </w:rPr>
        <w:t>The fair value of identifiable intangible assets are determined using either the income approach (the relief-from-royalty method, multi-period excess earnings method or with-and-without method) or the cost approach (replacement cost method).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color w:val="auto"/>
        </w:rPr>
        <w:t>These valuation approaches use a combination of assumptions, including Level 3 inputs, such as (i) forecasted revenue, growth rates and customer attrition rates, (ii) forecasted operating expenses and profit margins, and (iii) royalty rates and discount rates used to present value the forecasted cash flows.</w:t>
      </w:r>
    </w:p>
    <w:p>
      <w:pPr>
        <w:spacing w:after="0" w:line="80"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The Company assesses long-lived assets (including definite-lived intangible assets, fixed assets, and right-of-use assets) for impairment whenever events or changes in circumstances indicate that the carrying amount of an asset may not be recoverable. Recoverability of long-lived assets to be held and used is measured by a comparison of the carrying amount of an asset group to the future undiscounted net cash flows that are expected to be generated by the asset group. If such asset group is considered to be impaired, the impairment to be recognized is measured by the amount by which the carrying amount of the asset group exceeds its fair value. The Company determines the fair value of its asset groups based on a combination of inputs, including Level 3 inputs such as discounted cash flows, which are not observable from the market, directly or indirectly. In connection with the impairment loss on the customer relationships intangible assets recognized during the three months ended June 30, 2025, the following unobservable inputs were used in discounted cash flow method (within the income approach) to measure the fair value of the revenue cycle solutions asset group:</w:t>
      </w:r>
    </w:p>
    <w:p>
      <w:pPr>
        <w:spacing w:after="0" w:line="129" w:lineRule="exact"/>
        <w:rPr>
          <w:sz w:val="20"/>
          <w:szCs w:val="20"/>
          <w:color w:val="auto"/>
        </w:rPr>
      </w:pPr>
    </w:p>
    <w:tbl>
      <w:tblPr>
        <w:tblLayout w:type="fixed"/>
        <w:tblInd w:w="262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24"/>
        </w:trPr>
        <w:tc>
          <w:tcPr>
            <w:tcW w:w="32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growth rates</w:t>
            </w:r>
          </w:p>
        </w:tc>
        <w:tc>
          <w:tcPr>
            <w:tcW w:w="156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(2.1)% - 6.1%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growth rate</w:t>
            </w:r>
          </w:p>
        </w:tc>
        <w:tc>
          <w:tcPr>
            <w:tcW w:w="156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cost of capital</w:t>
            </w:r>
          </w:p>
        </w:tc>
        <w:tc>
          <w:tcPr>
            <w:tcW w:w="156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r>
    </w:tbl>
    <w:p>
      <w:pPr>
        <w:spacing w:after="0" w:line="218" w:lineRule="exact"/>
        <w:rPr>
          <w:sz w:val="20"/>
          <w:szCs w:val="20"/>
          <w:color w:val="auto"/>
        </w:rPr>
      </w:pPr>
    </w:p>
    <w:p>
      <w:pPr>
        <w:ind w:firstLine="393"/>
        <w:spacing w:after="0" w:line="265" w:lineRule="auto"/>
        <w:rPr>
          <w:sz w:val="20"/>
          <w:szCs w:val="20"/>
          <w:color w:val="auto"/>
        </w:rPr>
      </w:pPr>
      <w:r>
        <w:rPr>
          <w:rFonts w:ascii="Times New Roman" w:cs="Times New Roman" w:eastAsia="Times New Roman" w:hAnsi="Times New Roman"/>
          <w:sz w:val="17"/>
          <w:szCs w:val="17"/>
          <w:color w:val="auto"/>
        </w:rPr>
        <w:t xml:space="preserve">The Company maintains goodwill on its balance sheet, which represents the excess of the total purchase price of acquisitions over the fair value of the net assets and intangible assets acquired. The Company evaluates goodwill and indefinite-lived intangible assets annually for impairment and whenever events or changes in circumstances indicate that it is more likely than not that an impairment exists. The Company determines the fair value of its reporting units based on a combination of inputs, including the market capitalization of the Company, as well as Level 3 inputs such as discounted cash flows, which are not observable from the market, directly or indirectly. The Company determines the fair value of indefinite-lived intangible assets using the income approach (relief-from-royalty method) based on Level 3 inputs. Refer to </w:t>
      </w:r>
      <w:r>
        <w:rPr>
          <w:rFonts w:ascii="Times New Roman" w:cs="Times New Roman" w:eastAsia="Times New Roman" w:hAnsi="Times New Roman"/>
          <w:sz w:val="17"/>
          <w:szCs w:val="17"/>
          <w:u w:val="single" w:color="auto"/>
          <w:color w:val="0000FF"/>
        </w:rPr>
        <w:t>Note (5)</w:t>
      </w:r>
      <w:r>
        <w:rPr>
          <w:rFonts w:ascii="Times New Roman" w:cs="Times New Roman" w:eastAsia="Times New Roman" w:hAnsi="Times New Roman"/>
          <w:sz w:val="17"/>
          <w:szCs w:val="17"/>
          <w:color w:val="auto"/>
        </w:rPr>
        <w:t xml:space="preserve"> “Goodwill and Identifiable Intangible Assets” for additional details.</w:t>
      </w:r>
    </w:p>
    <w:p>
      <w:pPr>
        <w:spacing w:after="0" w:line="121" w:lineRule="exact"/>
        <w:rPr>
          <w:sz w:val="20"/>
          <w:szCs w:val="20"/>
          <w:color w:val="auto"/>
        </w:rPr>
      </w:pPr>
    </w:p>
    <w:p>
      <w:pPr>
        <w:ind w:right="60" w:firstLine="393"/>
        <w:spacing w:after="0" w:line="263" w:lineRule="auto"/>
        <w:rPr>
          <w:sz w:val="20"/>
          <w:szCs w:val="20"/>
          <w:color w:val="auto"/>
        </w:rPr>
      </w:pPr>
      <w:r>
        <w:rPr>
          <w:rFonts w:ascii="Times New Roman" w:cs="Times New Roman" w:eastAsia="Times New Roman" w:hAnsi="Times New Roman"/>
          <w:sz w:val="17"/>
          <w:szCs w:val="17"/>
          <w:color w:val="auto"/>
        </w:rPr>
        <w:t>The Company’s equity investment represents an investment in a non-controlled corporation without a readily determinable market value. The Company has elected to measure the investment at cost minus impairment, if any, plus or minus changes resulting from observable price changes. When the Company identifies price changes in orderly transactions for identical or similar investments of the same issuer, the investment is measured at fair value. To determine whether a security of the same issuer is similar to the Company’s equity investment, the Company considers other information available such as the rights and obligations of the securities. The Company recognizes changes to the fair value of its equity investment in interest expense, net, and other in the consolidated statements of comprehensive income (loss). As of December 31, 2025, the Company has recognized cumulative upward adjustments and cumulative downward adjustments (including impairments) of $14,033 and $19,860, respectively. The balance of the equity investment was $2,773 as of December 31, 2025 and 2024.</w:t>
      </w:r>
    </w:p>
    <w:p>
      <w:pPr>
        <w:spacing w:after="0" w:line="3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54"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 xml:space="preserve">The Company is required to disclose the fair value of financial instruments for which it is practicable to estimate the value, even though these instruments are not recognized at fair value in the consolidated balance sheets. The fair value of the Company’s 4.625% senior notes due 2027 (the “2027 Notes”), 4.000% senior notes due 2029 (the “2029 Notes”), and 6.500% senior notes due 2031 (the “2031 Notes”), was estimated using quoted market prices in active markets for identical liabilities, which are Level 1 inputs. The carrying amounts and estimated fair value of the 2027 Notes, the 2029 Notes, and the 2031 Notes which are more fully described in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“Notes Payable and Credit Agreement,” are presented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60" w:type="dxa"/>
            <w:vAlign w:val="bottom"/>
            <w:gridSpan w:val="6"/>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86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4"/>
        </w:trPr>
        <w:tc>
          <w:tcPr>
            <w:tcW w:w="40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3"/>
          </w:tcPr>
          <w:p>
            <w:pPr>
              <w:jc w:val="center"/>
              <w:ind w:right="693"/>
              <w:spacing w:after="0" w:line="12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20" w:type="dxa"/>
            <w:vAlign w:val="bottom"/>
            <w:tcBorders>
              <w:top w:val="single" w:sz="8" w:color="auto"/>
            </w:tcBorders>
          </w:tcPr>
          <w:p>
            <w:pPr>
              <w:ind w:left="240"/>
              <w:spacing w:after="0" w:line="12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right"/>
              <w:ind w:right="480"/>
              <w:spacing w:after="0" w:line="125"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1"/>
        </w:trPr>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right="6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40" w:type="dxa"/>
            <w:vAlign w:val="bottom"/>
          </w:tcPr>
          <w:p>
            <w:pPr>
              <w:spacing w:after="0"/>
              <w:rPr>
                <w:sz w:val="16"/>
                <w:szCs w:val="16"/>
                <w:color w:val="auto"/>
              </w:rPr>
            </w:pPr>
          </w:p>
        </w:tc>
        <w:tc>
          <w:tcPr>
            <w:tcW w:w="14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Notes</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473,750</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36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331,188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312,375</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2031 Notes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firstLine="433"/>
        <w:spacing w:after="0" w:line="267" w:lineRule="auto"/>
        <w:rPr>
          <w:sz w:val="20"/>
          <w:szCs w:val="20"/>
          <w:color w:val="auto"/>
        </w:rPr>
      </w:pPr>
      <w:r>
        <w:rPr>
          <w:rFonts w:ascii="Times New Roman" w:cs="Times New Roman" w:eastAsia="Times New Roman" w:hAnsi="Times New Roman"/>
          <w:sz w:val="17"/>
          <w:szCs w:val="17"/>
          <w:color w:val="auto"/>
        </w:rPr>
        <w:t xml:space="preserve">The Company initially recognized the 2027 Note Receivable at its estimated fair value of $9,899 in connection with the sale of its Smart Square healthcare scheduling software on July 1, 2025. The fair value was determined using Level 2 inputs, including observable market interest rates and pricing for similar credit facilities. The fair value of the 2027 Note Receivable was not re-measured as of December 31, 2025 as there were no material changes in contractual terms, counterparty credit risk, or other relevant factors. The carrying amount of $9,931 as of December 31, 2025 approximates its fair value and is classified as a noncurrent asset in the consolidated balance sheet. See </w:t>
      </w:r>
      <w:r>
        <w:rPr>
          <w:rFonts w:ascii="Times New Roman" w:cs="Times New Roman" w:eastAsia="Times New Roman" w:hAnsi="Times New Roman"/>
          <w:sz w:val="17"/>
          <w:szCs w:val="17"/>
          <w:u w:val="single" w:color="auto"/>
          <w:color w:val="0000FF"/>
        </w:rPr>
        <w:t>Note (3)</w:t>
      </w:r>
      <w:r>
        <w:rPr>
          <w:rFonts w:ascii="Times New Roman" w:cs="Times New Roman" w:eastAsia="Times New Roman" w:hAnsi="Times New Roman"/>
          <w:sz w:val="17"/>
          <w:szCs w:val="17"/>
          <w:color w:val="auto"/>
        </w:rPr>
        <w:t>, “Sale of Disposal Group” for additional information.</w:t>
      </w:r>
    </w:p>
    <w:p>
      <w:pPr>
        <w:spacing w:after="0" w:line="119"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 fair value of the Company’s long-term self-insurance accruals cannot be estimated as the Company cannot reasonably determine the timing of future payments.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Goodwill and Identifiable Intangible Assets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Intangible Assets</w:t>
      </w:r>
    </w:p>
    <w:p>
      <w:pPr>
        <w:spacing w:after="0" w:line="176" w:lineRule="exact"/>
        <w:rPr>
          <w:sz w:val="20"/>
          <w:szCs w:val="20"/>
          <w:color w:val="auto"/>
        </w:rPr>
      </w:pPr>
    </w:p>
    <w:p>
      <w:pPr>
        <w:ind w:right="20" w:firstLine="393"/>
        <w:spacing w:after="0" w:line="263" w:lineRule="auto"/>
        <w:rPr>
          <w:sz w:val="20"/>
          <w:szCs w:val="20"/>
          <w:color w:val="auto"/>
        </w:rPr>
      </w:pPr>
      <w:r>
        <w:rPr>
          <w:rFonts w:ascii="Times New Roman" w:cs="Times New Roman" w:eastAsia="Times New Roman" w:hAnsi="Times New Roman"/>
          <w:sz w:val="17"/>
          <w:szCs w:val="17"/>
          <w:color w:val="auto"/>
        </w:rPr>
        <w:t xml:space="preserve">During the second quarter of 2025, the Company determined that recent declines in forecasted revenue and earnings of the revenue cycle solutions business (within the nurse and allied solutions segment) indicated that the carrying amounts of its customer relationships intangible assets may not be recoverable. Accordingly, the Company tested the recoverability of the asset group based on undiscounted estimated future cash flows and concluded that its carrying amount was not recoverable. The Company engaged a third-party valuation specialist to assist with determining the fair value of the asset group, which was estimated using the discounted cash flow method (within the income approach), and concluded that the asset group’s carrying amount exceeded its fair value. As a result, the Company recognized an impairment loss on the customer relationships intangible assets of $18,262, which is included within long-lived assets impairment losses in the consolidated statements of comprehensive income (loss). See </w:t>
      </w:r>
      <w:r>
        <w:rPr>
          <w:rFonts w:ascii="Times New Roman" w:cs="Times New Roman" w:eastAsia="Times New Roman" w:hAnsi="Times New Roman"/>
          <w:sz w:val="17"/>
          <w:szCs w:val="17"/>
          <w:u w:val="single" w:color="auto"/>
          <w:color w:val="0000FF"/>
        </w:rPr>
        <w:t>Note (4)</w:t>
      </w:r>
      <w:r>
        <w:rPr>
          <w:rFonts w:ascii="Times New Roman" w:cs="Times New Roman" w:eastAsia="Times New Roman" w:hAnsi="Times New Roman"/>
          <w:sz w:val="17"/>
          <w:szCs w:val="17"/>
          <w:color w:val="auto"/>
        </w:rPr>
        <w:t>, “Fair Value Measurement,” for additional information regarding the measurement of the asset group’s fair value.</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2025 and 2024, the Company had the following acquired intangible assets: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6"/>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6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78"/>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8"/>
              <w:spacing w:after="0" w:line="126"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8"/>
              <w:spacing w:after="0" w:line="126"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18"/>
              <w:spacing w:after="0" w:line="126"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78"/>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00" w:type="dxa"/>
            <w:vAlign w:val="bottom"/>
          </w:tcPr>
          <w:p>
            <w:pPr>
              <w:spacing w:after="0"/>
              <w:rPr>
                <w:sz w:val="12"/>
                <w:szCs w:val="12"/>
                <w:color w:val="auto"/>
              </w:rPr>
            </w:pPr>
          </w:p>
        </w:tc>
        <w:tc>
          <w:tcPr>
            <w:tcW w:w="90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0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Staffing databases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52,336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(43,475)</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8,861</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52,336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(39,879)</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12,457</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467,286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532,048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284,498</w:t>
            </w:r>
          </w:p>
        </w:tc>
        <w:tc>
          <w:tcPr>
            <w:tcW w:w="0" w:type="dxa"/>
            <w:vAlign w:val="bottom"/>
          </w:tcPr>
          <w:p>
            <w:pPr>
              <w:spacing w:after="0"/>
              <w:rPr>
                <w:sz w:val="1"/>
                <w:szCs w:val="1"/>
                <w:color w:val="auto"/>
              </w:rPr>
            </w:pPr>
          </w:p>
        </w:tc>
      </w:tr>
      <w:tr>
        <w:trPr>
          <w:trHeight w:val="223"/>
        </w:trPr>
        <w:tc>
          <w:tcPr>
            <w:tcW w:w="3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Tradenames and trademarks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80,329</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Acquired technology</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37,915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845,117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(561,590)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916,186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381,364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60" w:firstLine="393"/>
        <w:spacing w:after="0" w:line="297" w:lineRule="auto"/>
        <w:rPr>
          <w:sz w:val="20"/>
          <w:szCs w:val="20"/>
          <w:color w:val="auto"/>
        </w:rPr>
      </w:pPr>
      <w:r>
        <w:rPr>
          <w:rFonts w:ascii="Times New Roman" w:cs="Times New Roman" w:eastAsia="Times New Roman" w:hAnsi="Times New Roman"/>
          <w:sz w:val="17"/>
          <w:szCs w:val="17"/>
          <w:color w:val="auto"/>
        </w:rPr>
        <w:t>Aggregate amortization expense for intangible assets was $78,027 and $92,770 for the years ended December 31, 2025 and 2024, respectively. Based on the net carrying amount of intangible assets subject to amortization, the estimated future amortization expense as of December 31, 2025 is as follows:</w:t>
      </w:r>
    </w:p>
    <w:p>
      <w:pPr>
        <w:sectPr>
          <w:pgSz w:w="11900" w:h="16838" w:orient="portrait"/>
          <w:cols w:equalWidth="0" w:num="1">
            <w:col w:w="11240"/>
          </w:cols>
          <w:pgMar w:left="320" w:top="121" w:right="339" w:bottom="1440" w:gutter="0" w:footer="0" w:header="0"/>
        </w:sect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19620" cy="149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9620" cy="14986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Year ending December 31, 2027</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Year ending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19620" cy="141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Year ending December 31, 2029</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Year ending December 31,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19620" cy="141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962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19620" cy="166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9620"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455"/>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55" w:lineRule="exact"/>
        <w:rPr>
          <w:sz w:val="20"/>
          <w:szCs w:val="20"/>
          <w:color w:val="auto"/>
        </w:rPr>
      </w:pPr>
    </w:p>
    <w:p>
      <w:pPr>
        <w:ind w:left="855" w:hanging="855"/>
        <w:spacing w:after="0"/>
        <w:tabs>
          <w:tab w:leader="none" w:pos="8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66,642</w:t>
      </w:r>
    </w:p>
    <w:p>
      <w:pPr>
        <w:spacing w:after="0" w:line="32" w:lineRule="exact"/>
        <w:rPr>
          <w:rFonts w:ascii="Times New Roman" w:cs="Times New Roman" w:eastAsia="Times New Roman" w:hAnsi="Times New Roman"/>
          <w:sz w:val="17"/>
          <w:szCs w:val="17"/>
          <w:color w:val="auto"/>
        </w:rPr>
      </w:pPr>
    </w:p>
    <w:p>
      <w:pPr>
        <w:ind w:left="85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52,181</w:t>
      </w:r>
    </w:p>
    <w:p>
      <w:pPr>
        <w:spacing w:after="0" w:line="27" w:lineRule="exact"/>
        <w:rPr>
          <w:rFonts w:ascii="Times New Roman" w:cs="Times New Roman" w:eastAsia="Times New Roman" w:hAnsi="Times New Roman"/>
          <w:sz w:val="17"/>
          <w:szCs w:val="17"/>
          <w:color w:val="auto"/>
        </w:rPr>
      </w:pPr>
    </w:p>
    <w:p>
      <w:pPr>
        <w:ind w:left="85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34,729</w:t>
      </w:r>
    </w:p>
    <w:p>
      <w:pPr>
        <w:spacing w:after="0" w:line="27" w:lineRule="exact"/>
        <w:rPr>
          <w:rFonts w:ascii="Times New Roman" w:cs="Times New Roman" w:eastAsia="Times New Roman" w:hAnsi="Times New Roman"/>
          <w:sz w:val="17"/>
          <w:szCs w:val="17"/>
          <w:color w:val="auto"/>
        </w:rPr>
      </w:pPr>
    </w:p>
    <w:p>
      <w:pPr>
        <w:ind w:left="85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26,229</w:t>
      </w:r>
    </w:p>
    <w:p>
      <w:pPr>
        <w:spacing w:after="0" w:line="27" w:lineRule="exact"/>
        <w:rPr>
          <w:rFonts w:ascii="Times New Roman" w:cs="Times New Roman" w:eastAsia="Times New Roman" w:hAnsi="Times New Roman"/>
          <w:sz w:val="17"/>
          <w:szCs w:val="17"/>
          <w:color w:val="auto"/>
        </w:rPr>
      </w:pPr>
    </w:p>
    <w:p>
      <w:pPr>
        <w:ind w:left="85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20,369</w:t>
      </w:r>
    </w:p>
    <w:p>
      <w:pPr>
        <w:spacing w:after="0" w:line="27" w:lineRule="exact"/>
        <w:rPr>
          <w:rFonts w:ascii="Times New Roman" w:cs="Times New Roman" w:eastAsia="Times New Roman" w:hAnsi="Times New Roman"/>
          <w:sz w:val="17"/>
          <w:szCs w:val="17"/>
          <w:color w:val="auto"/>
        </w:rPr>
      </w:pPr>
    </w:p>
    <w:p>
      <w:pPr>
        <w:ind w:left="85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83,376</w:t>
      </w:r>
    </w:p>
    <w:p>
      <w:pPr>
        <w:spacing w:after="0" w:line="36" w:lineRule="exact"/>
        <w:rPr>
          <w:sz w:val="20"/>
          <w:szCs w:val="20"/>
          <w:color w:val="auto"/>
        </w:rPr>
      </w:pPr>
    </w:p>
    <w:p>
      <w:pPr>
        <w:ind w:left="775" w:hanging="775"/>
        <w:spacing w:after="0"/>
        <w:tabs>
          <w:tab w:leader="none" w:pos="7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283,526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9074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5" w:space="720"/>
            <w:col w:w="1435"/>
          </w:cols>
          <w:pgMar w:left="320" w:top="121" w:right="3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w:t>
      </w:r>
    </w:p>
    <w:p>
      <w:pPr>
        <w:spacing w:after="0" w:line="176" w:lineRule="exact"/>
        <w:rPr>
          <w:sz w:val="20"/>
          <w:szCs w:val="20"/>
          <w:color w:val="auto"/>
        </w:rPr>
      </w:pPr>
    </w:p>
    <w:p>
      <w:pPr>
        <w:ind w:right="40" w:firstLine="393"/>
        <w:spacing w:after="0" w:line="262" w:lineRule="auto"/>
        <w:rPr>
          <w:sz w:val="20"/>
          <w:szCs w:val="20"/>
          <w:color w:val="auto"/>
        </w:rPr>
      </w:pPr>
      <w:r>
        <w:rPr>
          <w:rFonts w:ascii="Times New Roman" w:cs="Times New Roman" w:eastAsia="Times New Roman" w:hAnsi="Times New Roman"/>
          <w:sz w:val="17"/>
          <w:szCs w:val="17"/>
          <w:color w:val="auto"/>
        </w:rPr>
        <w:t>Due to recent declines in forecasted revenue and earnings of the physician and leadership solutions reporting unit, the Company performed a quantitative goodwill impairment test for the reporting unit in the second quarter of 2025. The Company engaged a third-party valuation specialist to assist with determining the fair value of the reporting unit, which was estimated using an equal weighting of the income and market approaches. The discounted cash flow method (within the income approach) requires the use of Level 3 inputs, including (i) estimated future cash flows based on internally-developed forecasts of revenue, expenses and profit margins, (ii) estimated long-term growth rates, and (iii) determination of the Company’s weighted-average cost of capital that reflects the relative risk of the cash flows for each reporting unit. The guideline public company method (within the market approach) derives valuation multiples based on the market capitalization of similar publicly traded companies to apply to the forecasted financial metrics of the reporting unit. The market multiples used are revenue and earnings before interest, taxes, depreciation, and amortization (EBITDA). In addition, as fair value determined under the guideline public company method represents a noncontrolling interest, a control premium was applied to arrive at the estimated fair value of the reporting unit on a controlling basis.</w:t>
      </w:r>
    </w:p>
    <w:p>
      <w:pPr>
        <w:spacing w:after="0" w:line="20" w:lineRule="exact"/>
        <w:rPr>
          <w:sz w:val="20"/>
          <w:szCs w:val="20"/>
          <w:color w:val="auto"/>
        </w:rPr>
      </w:pPr>
    </w:p>
    <w:p>
      <w:pPr>
        <w:ind w:firstLine="393"/>
        <w:spacing w:after="0" w:line="264" w:lineRule="auto"/>
        <w:rPr>
          <w:sz w:val="20"/>
          <w:szCs w:val="20"/>
          <w:color w:val="auto"/>
        </w:rPr>
      </w:pPr>
      <w:r>
        <w:rPr>
          <w:rFonts w:ascii="Times New Roman" w:cs="Times New Roman" w:eastAsia="Times New Roman" w:hAnsi="Times New Roman"/>
          <w:sz w:val="17"/>
          <w:szCs w:val="17"/>
          <w:color w:val="auto"/>
        </w:rPr>
        <w:t>The quantitative test resulted in a goodwill impairment loss for the physician and leadership solutions reporting unit. Consideration was first given to long-lived assets within the reporting unit, and no impairment was recognized on such assets as the future undiscounted cash flows were in excess of the carrying amount of each asset group tested for impairment. The decline in the fair value of the physician and leadership solutions reporting unit below its carrying amount resulted from changes in estimated future cash flows primarily due to lower-than-expected volume for the locum tenens staffing business, continued gross margin pressures in the locum tenens staffing business driven by higher provider pay packages, and a continued decline in demand for the healthcare interim leadership and permanent placement solutions. As a result, an impairment loss of $91,221 was recorded to goodwill of the physician and leadership solutions reporting unit during the second quarter of 2025.</w:t>
      </w:r>
    </w:p>
    <w:p>
      <w:pPr>
        <w:spacing w:after="0" w:line="200"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Recognition of the non-cash goodwill impairment loss resulted in income tax benefits that reduced the deferred tax liability associated with goodwill by $18,294, which increased the carrying amount of the physician and leadership solutions reporting unit. An incremental impairment loss of the same amount was recognized to reduce the reporting unit’s carrying amount to its previously determined fair value. After recognition of the incremental charge, the goodwill impairment loss amounted to $109,515 in total.</w:t>
      </w:r>
    </w:p>
    <w:p>
      <w:pPr>
        <w:spacing w:after="0" w:line="196" w:lineRule="exact"/>
        <w:rPr>
          <w:sz w:val="20"/>
          <w:szCs w:val="20"/>
          <w:color w:val="auto"/>
        </w:rPr>
      </w:pPr>
    </w:p>
    <w:p>
      <w:pPr>
        <w:ind w:right="40" w:firstLine="393"/>
        <w:spacing w:after="0" w:line="266" w:lineRule="auto"/>
        <w:rPr>
          <w:sz w:val="20"/>
          <w:szCs w:val="20"/>
          <w:color w:val="auto"/>
        </w:rPr>
      </w:pPr>
      <w:r>
        <w:rPr>
          <w:rFonts w:ascii="Times New Roman" w:cs="Times New Roman" w:eastAsia="Times New Roman" w:hAnsi="Times New Roman"/>
          <w:sz w:val="17"/>
          <w:szCs w:val="17"/>
          <w:color w:val="auto"/>
        </w:rPr>
        <w:t>The Company performed its annual goodwill impairment test as of October 31, 2025, using a quantitative assessment for each of its three reporting units. The Company engaged a third-party valuation specialist to assist in estimating the fair value of each reporting unit, which was determined using an equal weighting of the income and market approaches. The quantitative assessment concluded that no goodwill impairment existed for the three reporting units as the estimated fair values of the reporting units exceeded their respective carrying amounts. In addition, the Company evaluated its long-lived assets for impairment and determined that no impairment was required, as the future undiscounted cash flows were in excess of the carrying amounts of the related asset groups tested for impairment.</w:t>
      </w:r>
    </w:p>
    <w:p>
      <w:pPr>
        <w:spacing w:after="0" w:line="200" w:lineRule="exact"/>
        <w:rPr>
          <w:sz w:val="20"/>
          <w:szCs w:val="20"/>
          <w:color w:val="auto"/>
        </w:rPr>
      </w:pPr>
    </w:p>
    <w:p>
      <w:pPr>
        <w:spacing w:after="0" w:line="212" w:lineRule="exact"/>
        <w:rPr>
          <w:sz w:val="20"/>
          <w:szCs w:val="20"/>
          <w:color w:val="auto"/>
        </w:rPr>
      </w:pPr>
    </w:p>
    <w:p>
      <w:pPr>
        <w:jc w:val="both"/>
        <w:ind w:right="340" w:firstLine="393"/>
        <w:spacing w:after="0" w:line="277" w:lineRule="auto"/>
        <w:rPr>
          <w:sz w:val="20"/>
          <w:szCs w:val="20"/>
          <w:color w:val="auto"/>
        </w:rPr>
      </w:pPr>
      <w:r>
        <w:rPr>
          <w:rFonts w:ascii="Times New Roman" w:cs="Times New Roman" w:eastAsia="Times New Roman" w:hAnsi="Times New Roman"/>
          <w:sz w:val="17"/>
          <w:szCs w:val="17"/>
          <w:color w:val="auto"/>
        </w:rPr>
        <w:t>Following the annual goodwill impairment test as of October 31, 2025, the Company did not identify any events or circumstances during the final two months of the year ended December 31, 2025 that indicated it may be more likely than not that the fair value of its reporting units were reduced below their respective carrying amounts.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carrying value of goodwill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Nurse and Allied</w:t>
            </w: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Physician and Leadership</w:t>
            </w:r>
          </w:p>
        </w:tc>
        <w:tc>
          <w:tcPr>
            <w:tcW w:w="160" w:type="dxa"/>
            <w:vAlign w:val="bottom"/>
          </w:tcPr>
          <w:p>
            <w:pPr>
              <w:spacing w:after="0"/>
              <w:rPr>
                <w:sz w:val="13"/>
                <w:szCs w:val="1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Technology and</w:t>
            </w:r>
          </w:p>
        </w:tc>
        <w:tc>
          <w:tcPr>
            <w:tcW w:w="400" w:type="dxa"/>
            <w:vAlign w:val="bottom"/>
          </w:tcPr>
          <w:p>
            <w:pPr>
              <w:spacing w:after="0"/>
              <w:rPr>
                <w:sz w:val="13"/>
                <w:szCs w:val="13"/>
                <w:color w:val="auto"/>
              </w:rPr>
            </w:pPr>
          </w:p>
        </w:tc>
        <w:tc>
          <w:tcPr>
            <w:tcW w:w="130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320" w:type="dxa"/>
            <w:vAlign w:val="bottom"/>
          </w:tcPr>
          <w:p>
            <w:pPr>
              <w:spacing w:after="0"/>
              <w:rPr>
                <w:sz w:val="16"/>
                <w:szCs w:val="16"/>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Workforce Solutions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January 1, 2024</w:t>
            </w: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382,420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400,559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1,111,549</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(222,457)</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adjustment for MSDR acquisition</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8,364</w:t>
            </w: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259,137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237,760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400,559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897,456</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impairment loss</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(109,515)</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included in sale of disposal group</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(32,132)</w:t>
            </w:r>
          </w:p>
        </w:tc>
        <w:tc>
          <w:tcPr>
            <w:tcW w:w="0" w:type="dxa"/>
            <w:vAlign w:val="bottom"/>
          </w:tcPr>
          <w:p>
            <w:pPr>
              <w:spacing w:after="0"/>
              <w:rPr>
                <w:sz w:val="1"/>
                <w:szCs w:val="1"/>
                <w:color w:val="auto"/>
              </w:rPr>
            </w:pPr>
          </w:p>
        </w:tc>
      </w:tr>
      <w:tr>
        <w:trPr>
          <w:trHeight w:val="241"/>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755,809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Accumulated impairment loss as of December 31, 2024</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60" w:type="dxa"/>
            <w:vAlign w:val="bottom"/>
            <w:tcBorders>
              <w:top w:val="single" w:sz="8" w:color="CCEEFF"/>
            </w:tcBorders>
            <w:vMerge w:val="continue"/>
          </w:tcPr>
          <w:p>
            <w:pPr>
              <w:spacing w:after="0"/>
              <w:rPr>
                <w:sz w:val="16"/>
                <w:szCs w:val="16"/>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277,727</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159,669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437,396</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impairment loss as of December 31, 2025</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546,911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Leases</w:t>
      </w:r>
    </w:p>
    <w:p>
      <w:pPr>
        <w:spacing w:after="0" w:line="252" w:lineRule="exact"/>
        <w:rPr>
          <w:sz w:val="20"/>
          <w:szCs w:val="20"/>
          <w:color w:val="auto"/>
        </w:rPr>
      </w:pPr>
    </w:p>
    <w:p>
      <w:pPr>
        <w:ind w:right="160" w:firstLine="433"/>
        <w:spacing w:after="0" w:line="270" w:lineRule="auto"/>
        <w:rPr>
          <w:sz w:val="20"/>
          <w:szCs w:val="20"/>
          <w:color w:val="auto"/>
        </w:rPr>
      </w:pPr>
      <w:r>
        <w:rPr>
          <w:rFonts w:ascii="Times New Roman" w:cs="Times New Roman" w:eastAsia="Times New Roman" w:hAnsi="Times New Roman"/>
          <w:sz w:val="17"/>
          <w:szCs w:val="17"/>
          <w:color w:val="auto"/>
        </w:rPr>
        <w:t>The Company leases certain office facilities, data centers, and equipment under various operating leases. The Company’s short-term leases (with initial lease terms of 12 months or less) are primarily related to housing arrangements for healthcare professionals on assignment. Certain leases include one or more options to renew, with renewal terms that can extend the lease term up to 10 years. Additionally, certain leases also include options to terminate the leases within 2 years.</w:t>
      </w:r>
    </w:p>
    <w:p>
      <w:pPr>
        <w:spacing w:after="0" w:line="196" w:lineRule="exact"/>
        <w:rPr>
          <w:sz w:val="20"/>
          <w:szCs w:val="20"/>
          <w:color w:val="auto"/>
        </w:rPr>
      </w:pPr>
    </w:p>
    <w:p>
      <w:pPr>
        <w:ind w:right="40" w:firstLine="433"/>
        <w:spacing w:after="0" w:line="267" w:lineRule="auto"/>
        <w:rPr>
          <w:sz w:val="20"/>
          <w:szCs w:val="20"/>
          <w:color w:val="auto"/>
        </w:rPr>
      </w:pPr>
      <w:r>
        <w:rPr>
          <w:rFonts w:ascii="Times New Roman" w:cs="Times New Roman" w:eastAsia="Times New Roman" w:hAnsi="Times New Roman"/>
          <w:sz w:val="17"/>
          <w:szCs w:val="17"/>
          <w:color w:val="auto"/>
        </w:rPr>
        <w:t>In the first quarter of 2022, the Company entered into a lease agreement for an office building located in Dallas, Texas, with future undiscounted lease payments of approximately $29,514, excluding lease incentives. The lease commenced upon substantial completion of the construction of the office building in June 2023. The initial term of the lease is approximately eleven years with options to renew during the lease term. The Company recognized a right-of-use asset and operating lease liability of $15,782 and $22,713, respectively, at lease commencement, which reflects the utilization of a tenant improvement allowance of $6,931 accounted for as a lease incentive.</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lease expense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8,709</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9,204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8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and other lease cost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1,923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2,469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lease cost</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12,816</w:t>
            </w:r>
          </w:p>
        </w:tc>
        <w:tc>
          <w:tcPr>
            <w:tcW w:w="1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14,110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The maturities of lease liabilities as of December 31, 2025 were as follows:</w:t>
            </w: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7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 2026</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ending December 31, 2027</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 2028</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ending December 31, 2029</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December 31, 2030</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Thereafter</w:t>
            </w:r>
          </w:p>
        </w:tc>
        <w:tc>
          <w:tcPr>
            <w:tcW w:w="8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lease payments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Less imputed interest</w:t>
            </w:r>
          </w:p>
        </w:tc>
        <w:tc>
          <w:tcPr>
            <w:tcW w:w="8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8560" w:type="dxa"/>
            <w:vAlign w:val="bottom"/>
            <w:gridSpan w:val="7"/>
          </w:tcPr>
          <w:p>
            <w:pPr>
              <w:ind w:left="440"/>
              <w:spacing w:after="0"/>
              <w:rPr>
                <w:sz w:val="20"/>
                <w:szCs w:val="20"/>
                <w:color w:val="auto"/>
              </w:rPr>
            </w:pPr>
            <w:r>
              <w:rPr>
                <w:rFonts w:ascii="Times New Roman" w:cs="Times New Roman" w:eastAsia="Times New Roman" w:hAnsi="Times New Roman"/>
                <w:sz w:val="17"/>
                <w:szCs w:val="17"/>
                <w:color w:val="auto"/>
              </w:rPr>
              <w:t>The weighted average remaining lease term and discount rate as of December 31, 2025 and 2024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years</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Balance Sheet Details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consolidated balance sheets detail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45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50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41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14,984</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taxes receivable</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Subcontractor deposits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11,190</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15,601</w:t>
            </w:r>
          </w:p>
        </w:tc>
        <w:tc>
          <w:tcPr>
            <w:tcW w:w="20" w:type="dxa"/>
            <w:vAlign w:val="bottom"/>
          </w:tcPr>
          <w:p>
            <w:pPr>
              <w:spacing w:after="0"/>
              <w:rPr>
                <w:sz w:val="19"/>
                <w:szCs w:val="19"/>
                <w:color w:val="auto"/>
              </w:rPr>
            </w:pPr>
          </w:p>
        </w:tc>
      </w:tr>
      <w:tr>
        <w:trPr>
          <w:trHeight w:val="216"/>
        </w:trPr>
        <w:tc>
          <w:tcPr>
            <w:tcW w:w="4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76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59,935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53,458</w:t>
            </w:r>
          </w:p>
        </w:tc>
        <w:tc>
          <w:tcPr>
            <w:tcW w:w="20" w:type="dxa"/>
            <w:vAlign w:val="bottom"/>
          </w:tcPr>
          <w:p>
            <w:pPr>
              <w:spacing w:after="0"/>
              <w:rPr>
                <w:sz w:val="18"/>
                <w:szCs w:val="18"/>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
        </w:trPr>
        <w:tc>
          <w:tcPr>
            <w:tcW w:w="4500" w:type="dxa"/>
            <w:vAlign w:val="bottom"/>
            <w:shd w:val="clear" w:color="auto" w:fill="CCEEFF"/>
          </w:tcPr>
          <w:p>
            <w:pPr>
              <w:spacing w:after="0"/>
              <w:rPr>
                <w:sz w:val="6"/>
                <w:szCs w:val="6"/>
                <w:color w:val="auto"/>
              </w:rPr>
            </w:pPr>
          </w:p>
        </w:tc>
        <w:tc>
          <w:tcPr>
            <w:tcW w:w="3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Furniture and equipment</w:t>
            </w:r>
          </w:p>
        </w:tc>
        <w:tc>
          <w:tcPr>
            <w:tcW w:w="41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90,970</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Software</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436,891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440,034</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Leasehold improvements</w:t>
            </w:r>
          </w:p>
        </w:tc>
        <w:tc>
          <w:tcPr>
            <w:tcW w:w="3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16,061</w:t>
            </w:r>
          </w:p>
        </w:tc>
        <w:tc>
          <w:tcPr>
            <w:tcW w:w="20" w:type="dxa"/>
            <w:vAlign w:val="bottom"/>
          </w:tcPr>
          <w:p>
            <w:pPr>
              <w:spacing w:after="0"/>
              <w:rPr>
                <w:sz w:val="19"/>
                <w:szCs w:val="19"/>
                <w:color w:val="auto"/>
              </w:rPr>
            </w:pPr>
          </w:p>
        </w:tc>
      </w:tr>
      <w:tr>
        <w:trPr>
          <w:trHeight w:val="216"/>
        </w:trPr>
        <w:tc>
          <w:tcPr>
            <w:tcW w:w="4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551,158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547,065</w:t>
            </w:r>
          </w:p>
        </w:tc>
        <w:tc>
          <w:tcPr>
            <w:tcW w:w="20" w:type="dxa"/>
            <w:vAlign w:val="bottom"/>
          </w:tcPr>
          <w:p>
            <w:pPr>
              <w:spacing w:after="0"/>
              <w:rPr>
                <w:sz w:val="18"/>
                <w:szCs w:val="18"/>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(414,797)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(360,795)</w:t>
            </w:r>
          </w:p>
        </w:tc>
        <w:tc>
          <w:tcPr>
            <w:tcW w:w="20" w:type="dxa"/>
            <w:vAlign w:val="bottom"/>
          </w:tcPr>
          <w:p>
            <w:pPr>
              <w:spacing w:after="0"/>
              <w:rPr>
                <w:sz w:val="19"/>
                <w:szCs w:val="19"/>
                <w:color w:val="auto"/>
              </w:rPr>
            </w:pPr>
          </w:p>
        </w:tc>
      </w:tr>
      <w:tr>
        <w:trPr>
          <w:trHeight w:val="216"/>
        </w:trPr>
        <w:tc>
          <w:tcPr>
            <w:tcW w:w="4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Fixed assets, net</w:t>
            </w:r>
          </w:p>
        </w:tc>
        <w:tc>
          <w:tcPr>
            <w:tcW w:w="376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136,361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186,270</w:t>
            </w:r>
          </w:p>
        </w:tc>
        <w:tc>
          <w:tcPr>
            <w:tcW w:w="20" w:type="dxa"/>
            <w:vAlign w:val="bottom"/>
          </w:tcPr>
          <w:p>
            <w:pPr>
              <w:spacing w:after="0"/>
              <w:rPr>
                <w:sz w:val="18"/>
                <w:szCs w:val="18"/>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
        </w:trPr>
        <w:tc>
          <w:tcPr>
            <w:tcW w:w="4500" w:type="dxa"/>
            <w:vAlign w:val="bottom"/>
            <w:shd w:val="clear" w:color="auto" w:fill="CCEEFF"/>
          </w:tcPr>
          <w:p>
            <w:pPr>
              <w:spacing w:after="0"/>
              <w:rPr>
                <w:sz w:val="6"/>
                <w:szCs w:val="6"/>
                <w:color w:val="auto"/>
              </w:rPr>
            </w:pPr>
          </w:p>
        </w:tc>
        <w:tc>
          <w:tcPr>
            <w:tcW w:w="3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Life insurance cash surrender value</w:t>
            </w:r>
          </w:p>
        </w:tc>
        <w:tc>
          <w:tcPr>
            <w:tcW w:w="41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194,350</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32,115</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31,588</w:t>
            </w:r>
          </w:p>
        </w:tc>
        <w:tc>
          <w:tcPr>
            <w:tcW w:w="20" w:type="dxa"/>
            <w:vAlign w:val="bottom"/>
          </w:tcPr>
          <w:p>
            <w:pPr>
              <w:spacing w:after="0"/>
              <w:rPr>
                <w:sz w:val="19"/>
                <w:szCs w:val="19"/>
                <w:color w:val="auto"/>
              </w:rPr>
            </w:pPr>
          </w:p>
        </w:tc>
      </w:tr>
      <w:tr>
        <w:trPr>
          <w:trHeight w:val="216"/>
        </w:trPr>
        <w:tc>
          <w:tcPr>
            <w:tcW w:w="4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assets</w:t>
            </w:r>
          </w:p>
        </w:tc>
        <w:tc>
          <w:tcPr>
            <w:tcW w:w="376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282,552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258,053</w:t>
            </w:r>
          </w:p>
        </w:tc>
        <w:tc>
          <w:tcPr>
            <w:tcW w:w="20" w:type="dxa"/>
            <w:vAlign w:val="bottom"/>
          </w:tcPr>
          <w:p>
            <w:pPr>
              <w:spacing w:after="0"/>
              <w:rPr>
                <w:sz w:val="18"/>
                <w:szCs w:val="18"/>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
        </w:trPr>
        <w:tc>
          <w:tcPr>
            <w:tcW w:w="4500" w:type="dxa"/>
            <w:vAlign w:val="bottom"/>
            <w:shd w:val="clear" w:color="auto" w:fill="CCEEFF"/>
          </w:tcPr>
          <w:p>
            <w:pPr>
              <w:spacing w:after="0"/>
              <w:rPr>
                <w:sz w:val="6"/>
                <w:szCs w:val="6"/>
                <w:color w:val="auto"/>
              </w:rPr>
            </w:pPr>
          </w:p>
        </w:tc>
        <w:tc>
          <w:tcPr>
            <w:tcW w:w="3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 accounts payable</w:t>
            </w:r>
          </w:p>
        </w:tc>
        <w:tc>
          <w:tcPr>
            <w:tcW w:w="41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31,356</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Subcontractor payable</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69,563</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57,263</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contingencies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2,999</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Professional liability reserve</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8,395</w:t>
            </w:r>
          </w:p>
        </w:tc>
        <w:tc>
          <w:tcPr>
            <w:tcW w:w="20" w:type="dxa"/>
            <w:vAlign w:val="bottom"/>
          </w:tcPr>
          <w:p>
            <w:pPr>
              <w:spacing w:after="0"/>
              <w:rPr>
                <w:sz w:val="19"/>
                <w:szCs w:val="19"/>
                <w:color w:val="auto"/>
              </w:rPr>
            </w:pPr>
          </w:p>
        </w:tc>
      </w:tr>
      <w:tr>
        <w:trPr>
          <w:trHeight w:val="223"/>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14,735</w:t>
            </w:r>
          </w:p>
        </w:tc>
        <w:tc>
          <w:tcPr>
            <w:tcW w:w="20" w:type="dxa"/>
            <w:vAlign w:val="bottom"/>
          </w:tcPr>
          <w:p>
            <w:pPr>
              <w:spacing w:after="0"/>
              <w:rPr>
                <w:sz w:val="19"/>
                <w:szCs w:val="19"/>
                <w:color w:val="auto"/>
              </w:rPr>
            </w:pPr>
          </w:p>
        </w:tc>
      </w:tr>
      <w:tr>
        <w:trPr>
          <w:trHeight w:val="241"/>
        </w:trPr>
        <w:tc>
          <w:tcPr>
            <w:tcW w:w="4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161,968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184,311</w:t>
            </w:r>
          </w:p>
        </w:tc>
        <w:tc>
          <w:tcPr>
            <w:tcW w:w="20" w:type="dxa"/>
            <w:vAlign w:val="bottom"/>
          </w:tcPr>
          <w:p>
            <w:pPr>
              <w:spacing w:after="0"/>
              <w:rPr>
                <w:sz w:val="20"/>
                <w:szCs w:val="20"/>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
        </w:trPr>
        <w:tc>
          <w:tcPr>
            <w:tcW w:w="45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payroll</w:t>
            </w:r>
          </w:p>
        </w:tc>
        <w:tc>
          <w:tcPr>
            <w:tcW w:w="410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45,166</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46,896</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bonuses and commissions</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25,988</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ESPP contributions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Workers compensation reserve</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9,954</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compensation</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205,390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191,006</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12,888</w:t>
            </w:r>
          </w:p>
        </w:tc>
        <w:tc>
          <w:tcPr>
            <w:tcW w:w="20" w:type="dxa"/>
            <w:vAlign w:val="bottom"/>
          </w:tcPr>
          <w:p>
            <w:pPr>
              <w:spacing w:after="0"/>
              <w:rPr>
                <w:sz w:val="19"/>
                <w:szCs w:val="19"/>
                <w:color w:val="auto"/>
              </w:rPr>
            </w:pPr>
          </w:p>
        </w:tc>
      </w:tr>
      <w:tr>
        <w:trPr>
          <w:trHeight w:val="216"/>
        </w:trPr>
        <w:tc>
          <w:tcPr>
            <w:tcW w:w="4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76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298,837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287,544</w:t>
            </w:r>
          </w:p>
        </w:tc>
        <w:tc>
          <w:tcPr>
            <w:tcW w:w="20" w:type="dxa"/>
            <w:vAlign w:val="bottom"/>
          </w:tcPr>
          <w:p>
            <w:pPr>
              <w:spacing w:after="0"/>
              <w:rPr>
                <w:sz w:val="18"/>
                <w:szCs w:val="18"/>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
        </w:trPr>
        <w:tc>
          <w:tcPr>
            <w:tcW w:w="4500" w:type="dxa"/>
            <w:vAlign w:val="bottom"/>
            <w:shd w:val="clear" w:color="auto" w:fill="CCEEFF"/>
          </w:tcPr>
          <w:p>
            <w:pPr>
              <w:spacing w:after="0"/>
              <w:rPr>
                <w:sz w:val="6"/>
                <w:szCs w:val="6"/>
                <w:color w:val="auto"/>
              </w:rPr>
            </w:pPr>
          </w:p>
        </w:tc>
        <w:tc>
          <w:tcPr>
            <w:tcW w:w="37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41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10,014</w:t>
            </w:r>
          </w:p>
        </w:tc>
        <w:tc>
          <w:tcPr>
            <w:tcW w:w="20" w:type="dxa"/>
            <w:vAlign w:val="bottom"/>
          </w:tcPr>
          <w:p>
            <w:pPr>
              <w:spacing w:after="0"/>
              <w:rPr>
                <w:sz w:val="19"/>
                <w:szCs w:val="19"/>
                <w:color w:val="auto"/>
              </w:rPr>
            </w:pPr>
          </w:p>
        </w:tc>
      </w:tr>
      <w:tr>
        <w:trPr>
          <w:trHeight w:val="223"/>
        </w:trPr>
        <w:tc>
          <w:tcPr>
            <w:tcW w:w="4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Client deposits</w:t>
            </w: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56,341</w:t>
            </w:r>
          </w:p>
        </w:tc>
        <w:tc>
          <w:tcPr>
            <w:tcW w:w="20" w:type="dxa"/>
            <w:vAlign w:val="bottom"/>
          </w:tcPr>
          <w:p>
            <w:pPr>
              <w:spacing w:after="0"/>
              <w:rPr>
                <w:sz w:val="19"/>
                <w:szCs w:val="19"/>
                <w:color w:val="auto"/>
              </w:rPr>
            </w:pPr>
          </w:p>
        </w:tc>
      </w:tr>
      <w:tr>
        <w:trPr>
          <w:trHeight w:val="223"/>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20" w:type="dxa"/>
            <w:vAlign w:val="bottom"/>
          </w:tcPr>
          <w:p>
            <w:pPr>
              <w:spacing w:after="0"/>
              <w:rPr>
                <w:sz w:val="19"/>
                <w:szCs w:val="19"/>
                <w:color w:val="auto"/>
              </w:rPr>
            </w:pPr>
          </w:p>
        </w:tc>
      </w:tr>
      <w:tr>
        <w:trPr>
          <w:trHeight w:val="223"/>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20" w:type="dxa"/>
            <w:vAlign w:val="bottom"/>
          </w:tcPr>
          <w:p>
            <w:pPr>
              <w:spacing w:after="0"/>
              <w:rPr>
                <w:sz w:val="19"/>
                <w:szCs w:val="19"/>
                <w:color w:val="auto"/>
              </w:rPr>
            </w:pPr>
          </w:p>
        </w:tc>
      </w:tr>
      <w:tr>
        <w:trPr>
          <w:trHeight w:val="216"/>
        </w:trPr>
        <w:tc>
          <w:tcPr>
            <w:tcW w:w="4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73,930</w:t>
            </w:r>
          </w:p>
        </w:tc>
        <w:tc>
          <w:tcPr>
            <w:tcW w:w="20" w:type="dxa"/>
            <w:vAlign w:val="bottom"/>
          </w:tcPr>
          <w:p>
            <w:pPr>
              <w:spacing w:after="0"/>
              <w:rPr>
                <w:sz w:val="18"/>
                <w:szCs w:val="18"/>
                <w:color w:val="auto"/>
              </w:rPr>
            </w:pPr>
          </w:p>
        </w:tc>
      </w:tr>
      <w:tr>
        <w:trPr>
          <w:trHeight w:val="826"/>
        </w:trPr>
        <w:tc>
          <w:tcPr>
            <w:tcW w:w="4500" w:type="dxa"/>
            <w:vAlign w:val="bottom"/>
          </w:tcPr>
          <w:p>
            <w:pPr>
              <w:spacing w:after="0"/>
              <w:rPr>
                <w:sz w:val="24"/>
                <w:szCs w:val="24"/>
                <w:color w:val="auto"/>
              </w:rPr>
            </w:pPr>
          </w:p>
        </w:tc>
        <w:tc>
          <w:tcPr>
            <w:tcW w:w="3760" w:type="dxa"/>
            <w:vAlign w:val="bottom"/>
          </w:tcPr>
          <w:p>
            <w:pPr>
              <w:jc w:val="right"/>
              <w:ind w:right="2453"/>
              <w:spacing w:after="0"/>
              <w:rPr>
                <w:sz w:val="20"/>
                <w:szCs w:val="20"/>
                <w:color w:val="auto"/>
              </w:rPr>
            </w:pPr>
            <w:r>
              <w:rPr>
                <w:rFonts w:ascii="Times New Roman" w:cs="Times New Roman" w:eastAsia="Times New Roman" w:hAnsi="Times New Roman"/>
                <w:sz w:val="17"/>
                <w:szCs w:val="17"/>
                <w:color w:val="auto"/>
              </w:rPr>
              <w:t>60</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50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6"/>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Workers compensation reserve</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18,445</w:t>
            </w:r>
          </w:p>
        </w:tc>
        <w:tc>
          <w:tcPr>
            <w:tcW w:w="0" w:type="dxa"/>
            <w:vAlign w:val="bottom"/>
          </w:tcPr>
          <w:p>
            <w:pPr>
              <w:spacing w:after="0"/>
              <w:rPr>
                <w:sz w:val="1"/>
                <w:szCs w:val="1"/>
                <w:color w:val="auto"/>
              </w:rPr>
            </w:pPr>
          </w:p>
        </w:tc>
      </w:tr>
      <w:tr>
        <w:trPr>
          <w:trHeight w:val="223"/>
        </w:trPr>
        <w:tc>
          <w:tcPr>
            <w:tcW w:w="8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Professional liability reserve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38,307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14,973</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Income Taxes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Income (loss) before income taxes includes the following components for the years ended December 31, 2025, 2024, and 2023:</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283,822</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40" w:type="dxa"/>
            <w:vAlign w:val="bottom"/>
            <w:tcBorders>
              <w:bottom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(101,063)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0"/>
        </w:trPr>
        <w:tc>
          <w:tcPr>
            <w:tcW w:w="20" w:type="dxa"/>
            <w:vAlign w:val="bottom"/>
          </w:tcPr>
          <w:p>
            <w:pPr>
              <w:spacing w:after="0"/>
              <w:rPr>
                <w:sz w:val="24"/>
                <w:szCs w:val="24"/>
                <w:color w:val="auto"/>
              </w:rPr>
            </w:pPr>
          </w:p>
        </w:tc>
        <w:tc>
          <w:tcPr>
            <w:tcW w:w="9780" w:type="dxa"/>
            <w:vAlign w:val="bottom"/>
            <w:gridSpan w:val="12"/>
          </w:tcPr>
          <w:p>
            <w:pPr>
              <w:ind w:left="420"/>
              <w:spacing w:after="0"/>
              <w:rPr>
                <w:sz w:val="20"/>
                <w:szCs w:val="20"/>
                <w:color w:val="auto"/>
              </w:rPr>
            </w:pPr>
            <w:r>
              <w:rPr>
                <w:rFonts w:ascii="Times New Roman" w:cs="Times New Roman" w:eastAsia="Times New Roman" w:hAnsi="Times New Roman"/>
                <w:sz w:val="17"/>
                <w:szCs w:val="17"/>
                <w:color w:val="auto"/>
              </w:rPr>
              <w:t>The provision for income taxes from operations for the years ended December 31, 2025, 2024 and 2023 consists of the following:</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w:t>
            </w:r>
          </w:p>
        </w:tc>
        <w:tc>
          <w:tcPr>
            <w:tcW w:w="460" w:type="dxa"/>
            <w:vAlign w:val="bottom"/>
            <w:gridSpan w:val="4"/>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65,426</w:t>
            </w:r>
          </w:p>
        </w:tc>
      </w:tr>
      <w:tr>
        <w:trPr>
          <w:trHeight w:val="223"/>
        </w:trPr>
        <w:tc>
          <w:tcPr>
            <w:tcW w:w="2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State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20,666</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25,472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86,543</w:t>
            </w: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(10,273)</w:t>
            </w: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r>
      <w:tr>
        <w:trPr>
          <w:trHeight w:val="223"/>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r>
      <w:tr>
        <w:trPr>
          <w:trHeight w:val="216"/>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(benefit) for income taxes from operations</w:t>
            </w: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(5,361)</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73,610</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income tax expense (benefit) differs from the amount that would have resulted from applying the federal statutory rate of 21% for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and 2023 to pretax income (loss) from operations because of the effect of the following items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4"/>
        </w:trPr>
        <w:tc>
          <w:tcPr>
            <w:tcW w:w="4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4"/>
        </w:trPr>
        <w:tc>
          <w:tcPr>
            <w:tcW w:w="40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r>
      <w:tr>
        <w:trPr>
          <w:trHeight w:val="222"/>
        </w:trPr>
        <w:tc>
          <w:tcPr>
            <w:tcW w:w="4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Rate</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Rate</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Rate</w:t>
            </w:r>
          </w:p>
        </w:tc>
      </w:tr>
      <w:tr>
        <w:trPr>
          <w:trHeight w:val="24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Pretax income (loss) from operations</w:t>
            </w:r>
          </w:p>
        </w:tc>
        <w:tc>
          <w:tcPr>
            <w:tcW w:w="22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(101,063)</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tcPr>
          <w:p>
            <w:pPr>
              <w:jc w:val="right"/>
              <w:ind w:right="135"/>
              <w:spacing w:after="0"/>
              <w:rPr>
                <w:sz w:val="20"/>
                <w:szCs w:val="20"/>
                <w:color w:val="auto"/>
              </w:rPr>
            </w:pPr>
            <w:r>
              <w:rPr>
                <w:rFonts w:ascii="Times New Roman" w:cs="Times New Roman" w:eastAsia="Times New Roman" w:hAnsi="Times New Roman"/>
                <w:sz w:val="17"/>
                <w:szCs w:val="17"/>
                <w:color w:val="auto"/>
              </w:rPr>
              <w:t>(172,574)</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tcPr>
          <w:p>
            <w:pPr>
              <w:jc w:val="right"/>
              <w:ind w:right="174"/>
              <w:spacing w:after="0"/>
              <w:rPr>
                <w:sz w:val="20"/>
                <w:szCs w:val="20"/>
                <w:color w:val="auto"/>
              </w:rPr>
            </w:pPr>
            <w:r>
              <w:rPr>
                <w:rFonts w:ascii="Times New Roman" w:cs="Times New Roman" w:eastAsia="Times New Roman" w:hAnsi="Times New Roman"/>
                <w:sz w:val="17"/>
                <w:szCs w:val="17"/>
                <w:color w:val="auto"/>
              </w:rPr>
              <w:t>284,289</w:t>
            </w:r>
          </w:p>
        </w:tc>
        <w:tc>
          <w:tcPr>
            <w:tcW w:w="540" w:type="dxa"/>
            <w:vAlign w:val="bottom"/>
            <w:tcBorders>
              <w:bottom w:val="single" w:sz="8" w:color="CCEEFF"/>
            </w:tcBorders>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(21,223)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21.00 %</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(36,241)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21.00 %</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59,701</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170"/>
        </w:trPr>
        <w:tc>
          <w:tcPr>
            <w:tcW w:w="40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State and local income tax, net of federal income tax</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236"/>
        </w:trPr>
        <w:tc>
          <w:tcPr>
            <w:tcW w:w="40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effect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(7,379)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14,170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22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243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556</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2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950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(1,289)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(3,172)</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2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2,739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1,396</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905</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2,948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Goodwill impairment losses</w:t>
            </w:r>
          </w:p>
        </w:tc>
        <w:tc>
          <w:tcPr>
            <w:tcW w:w="2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8,267</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18,054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r>
      <w:tr>
        <w:trPr>
          <w:trHeight w:val="22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Company-owned life insurance policies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(6,293)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(4,428)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Meals per diems</w:t>
            </w:r>
          </w:p>
        </w:tc>
        <w:tc>
          <w:tcPr>
            <w:tcW w:w="2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2,244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2,110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3,010</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Sale of disposal group</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4,247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r>
      <w:tr>
        <w:trPr>
          <w:trHeight w:val="223"/>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278</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516</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961</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2,239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1,328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1,957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(227)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894</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4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(5,361)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(25,595)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73,610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5540" w:right="3700" w:hanging="5535"/>
        <w:spacing w:after="0" w:line="957" w:lineRule="auto"/>
        <w:tabs>
          <w:tab w:leader="none" w:pos="25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taxes in California represents the majority (greater than 50 percent) of the tax effect in this category.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-315595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deferred tax assets and liabilities are presented below as of December 31, 2025 and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5,982</w:t>
            </w:r>
          </w:p>
        </w:tc>
        <w:tc>
          <w:tcPr>
            <w:tcW w:w="12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6,394</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48,821</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bonus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5,546</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10,783</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10,954</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operating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5,314</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contingencies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Workers compensation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5,273</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Professional services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8,415</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5,960</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r>
      <w:tr>
        <w:trPr>
          <w:trHeight w:val="216"/>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110,478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112,197</w:t>
            </w: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Intangible assets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(32,994)</w:t>
            </w:r>
          </w:p>
        </w:tc>
        <w:tc>
          <w:tcPr>
            <w:tcW w:w="12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(65,251)</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Fixed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(8,662)</w:t>
            </w:r>
          </w:p>
        </w:tc>
      </w:tr>
      <w:tr>
        <w:trPr>
          <w:trHeight w:val="223"/>
        </w:trPr>
        <w:tc>
          <w:tcPr>
            <w:tcW w:w="8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(8,395)</w:t>
            </w:r>
          </w:p>
        </w:tc>
      </w:tr>
      <w:tr>
        <w:trPr>
          <w:trHeight w:val="223"/>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w:t>
            </w:r>
          </w:p>
        </w:tc>
      </w:tr>
      <w:tr>
        <w:trPr>
          <w:trHeight w:val="216"/>
        </w:trPr>
        <w:tc>
          <w:tcPr>
            <w:tcW w:w="82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(86,368)</w:t>
            </w:r>
          </w:p>
        </w:tc>
      </w:tr>
      <w:tr>
        <w:trPr>
          <w:trHeight w:val="24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44,877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25,829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right="300" w:firstLine="393"/>
        <w:spacing w:after="0" w:line="297"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whether it is more likely than not that some portion or all of the deferred tax assets will not be realized. Management believes it is more likely than not that the Company will realize the benefits of its deferred tax assets.</w:t>
      </w:r>
    </w:p>
    <w:p>
      <w:pPr>
        <w:spacing w:after="0" w:line="106" w:lineRule="exact"/>
        <w:rPr>
          <w:sz w:val="20"/>
          <w:szCs w:val="20"/>
          <w:color w:val="auto"/>
        </w:rPr>
      </w:pPr>
    </w:p>
    <w:p>
      <w:pPr>
        <w:ind w:right="20" w:firstLine="433"/>
        <w:spacing w:after="0" w:line="264" w:lineRule="auto"/>
        <w:rPr>
          <w:sz w:val="20"/>
          <w:szCs w:val="20"/>
          <w:color w:val="auto"/>
        </w:rPr>
      </w:pPr>
      <w:r>
        <w:rPr>
          <w:rFonts w:ascii="Times New Roman" w:cs="Times New Roman" w:eastAsia="Times New Roman" w:hAnsi="Times New Roman"/>
          <w:sz w:val="17"/>
          <w:szCs w:val="17"/>
          <w:color w:val="auto"/>
        </w:rPr>
        <w:t>The amount of federal net operating losses (“NOL”) carryforward that is available for use in years subsequent to December 31, 2025 is $15,136, which begins to expire by 2030. The amount of state NOL carryforward that is available for use in years subsequent to December 31, 2025 is $33,854, which begins to expire by 2036.</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summary of the changes in the amount of unrecognized tax benefits (excluding interest and penalties) for 2025, 2024 and 2023 is as follows: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67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of unrecognized tax benefits</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6,980</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 based on tax positions of prior years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Reductions due to lapse of applicable statute of limitation</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 of unrecognized tax benefits</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right="40" w:firstLine="433"/>
        <w:spacing w:after="0" w:line="297" w:lineRule="auto"/>
        <w:rPr>
          <w:sz w:val="20"/>
          <w:szCs w:val="20"/>
          <w:color w:val="auto"/>
        </w:rPr>
      </w:pPr>
      <w:r>
        <w:rPr>
          <w:rFonts w:ascii="Times New Roman" w:cs="Times New Roman" w:eastAsia="Times New Roman" w:hAnsi="Times New Roman"/>
          <w:sz w:val="17"/>
          <w:szCs w:val="17"/>
          <w:color w:val="auto"/>
        </w:rPr>
        <w:t>At December 31, 2025, if recognized, approximately $12,705 net of $2,892 of temporary differences would affect the effective tax rate (including interest and penalties).</w:t>
      </w:r>
    </w:p>
    <w:p>
      <w:pPr>
        <w:spacing w:after="0" w:line="106" w:lineRule="exact"/>
        <w:rPr>
          <w:sz w:val="20"/>
          <w:szCs w:val="20"/>
          <w:color w:val="auto"/>
        </w:rPr>
      </w:pPr>
    </w:p>
    <w:p>
      <w:pPr>
        <w:ind w:right="140" w:firstLine="433"/>
        <w:spacing w:after="0" w:line="277" w:lineRule="auto"/>
        <w:rPr>
          <w:sz w:val="20"/>
          <w:szCs w:val="20"/>
          <w:color w:val="auto"/>
        </w:rPr>
      </w:pPr>
      <w:r>
        <w:rPr>
          <w:rFonts w:ascii="Times New Roman" w:cs="Times New Roman" w:eastAsia="Times New Roman" w:hAnsi="Times New Roman"/>
          <w:sz w:val="17"/>
          <w:szCs w:val="17"/>
          <w:color w:val="auto"/>
        </w:rPr>
        <w:t>The Company recognizes interest related to unrecognized tax benefits in income tax expense (benefit). The Company had approximately $5,015, $2,861 and $1,942 of accrued interest related to unrecognized tax benefits at December 31, 2025, 2024 and 2023, respectively. The amount of interest expense recognized in 2025, 2024 and 2023 was $2,153, $920 and $552,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firstLine="433"/>
        <w:spacing w:after="0" w:line="264" w:lineRule="auto"/>
        <w:rPr>
          <w:sz w:val="20"/>
          <w:szCs w:val="20"/>
          <w:color w:val="auto"/>
        </w:rPr>
      </w:pPr>
      <w:r>
        <w:rPr>
          <w:rFonts w:ascii="Times New Roman" w:cs="Times New Roman" w:eastAsia="Times New Roman" w:hAnsi="Times New Roman"/>
          <w:sz w:val="17"/>
          <w:szCs w:val="17"/>
          <w:color w:val="auto"/>
        </w:rPr>
        <w:t>The Company is subject to taxation in the U.S. and various states and foreign jurisdictions. With few exceptions, as of December 31, 2025, the Company is no longer subject to state, local or foreign examinations by tax authorities for tax years before 2011, and the Company is no longer subject to U.S. federal income or payroll tax examinations for tax years before 2022.</w:t>
      </w:r>
    </w:p>
    <w:p>
      <w:pPr>
        <w:spacing w:after="0" w:line="2"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in subsequent years. The Company has assessed its impact on the consolidated financial statements and determined there was no material impact to income tax expense (benefit) or the effective tax rate as of December 31, 2025.</w:t>
      </w:r>
    </w:p>
    <w:p>
      <w:pPr>
        <w:spacing w:after="0" w:line="204"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The Company believes its liability for unrecognized tax benefits and contingent tax issues is adequate with respect to all open years. Notwithstanding the foregoing, the Company could adjust its provision for income taxes and contingent tax liability based on future developments.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Income taxes paid (net of refunds) during the years ended December 31, 2025, 2024 and 2023 by jurisdiction were as follows:</w:t>
      </w:r>
    </w:p>
    <w:p>
      <w:pPr>
        <w:spacing w:after="0" w:line="28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5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58,500</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state and local</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California</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Texas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94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(1)</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14,325</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41"/>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taxes paid, net</w:t>
            </w: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78,256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amount of income taxes paid during the year does not meet the 5% disaggregation threshold.</w:t>
      </w:r>
    </w:p>
    <w:p>
      <w:pPr>
        <w:spacing w:after="0" w:line="248"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Notes Payable and Credit Agreement</w:t>
      </w:r>
    </w:p>
    <w:p>
      <w:pPr>
        <w:spacing w:after="0" w:line="248" w:lineRule="exact"/>
        <w:rPr>
          <w:rFonts w:ascii="Times New Roman" w:cs="Times New Roman" w:eastAsia="Times New Roman" w:hAnsi="Times New Roman"/>
          <w:sz w:val="17"/>
          <w:szCs w:val="17"/>
          <w:b w:val="1"/>
          <w:bCs w:val="1"/>
          <w:color w:val="auto"/>
        </w:rPr>
      </w:pPr>
    </w:p>
    <w:p>
      <w:pPr>
        <w:ind w:left="440" w:hanging="238"/>
        <w:spacing w:after="0"/>
        <w:tabs>
          <w:tab w:leader="none" w:pos="440" w:val="left"/>
        </w:tabs>
        <w:numPr>
          <w:ilvl w:val="1"/>
          <w:numId w:val="2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Credit Agreement and Revolving Credit Facility</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February 10, 2023, the Company entered into the third amendment to its credit agreement (the “Third Amendment”). The Third Amendment (together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credit agreement, the first amendment and the second amendment, collectively, the “Amended Credit Agreement”) provides for, among other things,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 an extension of the maturity date of the Senior Credit Facility to February 10, 2028, (ii) an increase to the Senior Credit Facility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$400,000 to $750,000, and (iii) a transition from LIBOR to a Secured Overnight Financing Rate (“SOFR”)-based interest rate. On November 5, 2024,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entered into the fourth amendment to its credit agreement which increased the consolidated net leverage ratio covenant for the year ending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w:t>
      </w:r>
    </w:p>
    <w:p>
      <w:pPr>
        <w:spacing w:after="0" w:line="154" w:lineRule="exact"/>
        <w:rPr>
          <w:sz w:val="20"/>
          <w:szCs w:val="20"/>
          <w:color w:val="auto"/>
        </w:rPr>
      </w:pPr>
    </w:p>
    <w:p>
      <w:pPr>
        <w:ind w:right="40" w:firstLine="393"/>
        <w:spacing w:after="0" w:line="267" w:lineRule="auto"/>
        <w:rPr>
          <w:sz w:val="20"/>
          <w:szCs w:val="20"/>
          <w:color w:val="auto"/>
        </w:rPr>
      </w:pPr>
      <w:r>
        <w:rPr>
          <w:rFonts w:ascii="Times New Roman" w:cs="Times New Roman" w:eastAsia="Times New Roman" w:hAnsi="Times New Roman"/>
          <w:sz w:val="17"/>
          <w:szCs w:val="17"/>
          <w:color w:val="auto"/>
        </w:rPr>
        <w:t>On October 6, 2025, the Company entered into the fifth amendment to its credit agreement (the “Fifth Amendment”). The Fifth Amendment provides for, among other things, the following: (i) an extension of the maturity date of Senior Credit Facility to October 6, 2030, (ii) a decrease of the revolving commitments from $750,000 to $450,000, and (iii) the revision of the Consolidated Net Leverage Ratio (as calculated in accordance with the amended credit agreement) to be no greater than 5.25 to 1.00 through March 31, 2027. The obligations of the Company under the Amended Credit Agreement are secured by substantially all of the assets of the Company.</w:t>
      </w:r>
    </w:p>
    <w:p>
      <w:pPr>
        <w:spacing w:after="0" w:line="119" w:lineRule="exact"/>
        <w:rPr>
          <w:sz w:val="20"/>
          <w:szCs w:val="20"/>
          <w:color w:val="auto"/>
        </w:rPr>
      </w:pPr>
    </w:p>
    <w:p>
      <w:pPr>
        <w:ind w:right="40" w:firstLine="393"/>
        <w:spacing w:after="0" w:line="270" w:lineRule="auto"/>
        <w:rPr>
          <w:sz w:val="20"/>
          <w:szCs w:val="20"/>
          <w:color w:val="auto"/>
        </w:rPr>
      </w:pPr>
      <w:r>
        <w:rPr>
          <w:rFonts w:ascii="Times New Roman" w:cs="Times New Roman" w:eastAsia="Times New Roman" w:hAnsi="Times New Roman"/>
          <w:sz w:val="17"/>
          <w:szCs w:val="17"/>
          <w:color w:val="auto"/>
        </w:rPr>
        <w:t>Borrowings under the Senior Credit Facility bear interest at floating rates, at the Company’s option, based upon either SOFR plus a spread of 1.00% to 1.75% or a base rate plus a spread of 0.00% to 0.75%. The applicable spread is determined quarterly based upon the Company’s consolidated net leverage ratio (as calculated per the Amended Credit Agreement). The Senior Credit Facility, which includes a $125,000 sublimit for the issuance of letters of credit and a $75,000 sublimit for swingline loans, is available for working capital, capital expenditures, permitted acquisitions and general corporate purposes.</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(b)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4.000% Senior Notes Due 2029</w:t>
      </w:r>
    </w:p>
    <w:p>
      <w:pPr>
        <w:spacing w:after="0" w:line="176" w:lineRule="exact"/>
        <w:rPr>
          <w:sz w:val="20"/>
          <w:szCs w:val="20"/>
          <w:color w:val="auto"/>
        </w:rPr>
      </w:pPr>
    </w:p>
    <w:p>
      <w:pPr>
        <w:jc w:val="both"/>
        <w:ind w:right="80" w:firstLine="393"/>
        <w:spacing w:after="0" w:line="277" w:lineRule="auto"/>
        <w:rPr>
          <w:sz w:val="20"/>
          <w:szCs w:val="20"/>
          <w:color w:val="auto"/>
        </w:rPr>
      </w:pPr>
      <w:r>
        <w:rPr>
          <w:rFonts w:ascii="Times New Roman" w:cs="Times New Roman" w:eastAsia="Times New Roman" w:hAnsi="Times New Roman"/>
          <w:sz w:val="17"/>
          <w:szCs w:val="17"/>
          <w:color w:val="auto"/>
        </w:rPr>
        <w:t>On October 20, 2020, the Company completed the issuance of $350,000 aggregate principal amount of the 2029 Notes, which mature on April 15, 2029. The 2029 Notes are unsecured obligations of the Company and the interest is fixed at 4.000% and payable semi-annually in arrears on April 15 and October 15 of each year, commencing April 15, 2021.</w:t>
      </w:r>
    </w:p>
    <w:p>
      <w:pPr>
        <w:spacing w:after="0" w:line="1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6.500% Senior Notes Due 2031</w:t>
      </w:r>
    </w:p>
    <w:p>
      <w:pPr>
        <w:spacing w:after="0" w:line="176" w:lineRule="exact"/>
        <w:rPr>
          <w:sz w:val="20"/>
          <w:szCs w:val="20"/>
          <w:color w:val="auto"/>
        </w:rPr>
      </w:pPr>
    </w:p>
    <w:p>
      <w:pPr>
        <w:ind w:firstLine="393"/>
        <w:spacing w:after="0" w:line="262" w:lineRule="auto"/>
        <w:rPr>
          <w:sz w:val="20"/>
          <w:szCs w:val="20"/>
          <w:color w:val="auto"/>
        </w:rPr>
      </w:pPr>
      <w:r>
        <w:rPr>
          <w:rFonts w:ascii="Times New Roman" w:cs="Times New Roman" w:eastAsia="Times New Roman" w:hAnsi="Times New Roman"/>
          <w:sz w:val="17"/>
          <w:szCs w:val="17"/>
          <w:color w:val="auto"/>
        </w:rPr>
        <w:t>On October 6, 2025, the Company completed the issuance of $400,000 aggregate principal amount of the 2031 Notes, which mature on January 15, 2031. Interest on the 2031 Notes is fixed at 6.500% and payable semi-annually in arrears on January 15 and July 15 of each year, commencing July 15, 2026. With the proceeds from the 2031 Notes, together with borrowings under the Senior Credit Facility and cash generated from operations, the Company (1) redeemed all of its outstanding $500,000 aggregate principal amount of the 2027 Notes on October 22, 2025, (2) paid $1,349 in accrued and unpaid interest on the 2027 Notes and (3) incurred $6,375 in fees and expenses related to the issuance and sale of the 2031 Notes, which were recorded as a reduction of the notes payable balance and are being amortized to interest expense over the term of the 2031 Notes. In addition, as the redemption of the 2027 Notes was accounted for as a debt extinguishment, the Company wrote off $1,156 of unamortized financing fees incurred and remaining redemption premium in connection with the issuance of the 2027 Notes, which was recognized in interest expense, net, and other in the consolidated statements of comprehensive income (loss) for the year ended December 31, 2025.</w:t>
      </w: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indenture governing the 2031 Notes contains covenants that, among other things, restrict the ability of Company to:</w:t>
      </w:r>
    </w:p>
    <w:p>
      <w:pPr>
        <w:spacing w:after="0" w:line="93" w:lineRule="exact"/>
        <w:rPr>
          <w:sz w:val="20"/>
          <w:szCs w:val="20"/>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assets,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on capital stock, make payments in respect of subordinated indebtedness or make other restricted payments,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investments,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additional indebtedness or issue preferred stock,</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certain liens,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restrict dividends or other payments from restricted subsidiaries,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merge or transfer all or substantially all of their assets,</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with affiliates, and</w:t>
      </w:r>
    </w:p>
    <w:p>
      <w:pPr>
        <w:spacing w:after="0" w:line="93" w:lineRule="exact"/>
        <w:rPr>
          <w:rFonts w:ascii="Times New Roman" w:cs="Times New Roman" w:eastAsia="Times New Roman" w:hAnsi="Times New Roman"/>
          <w:sz w:val="17"/>
          <w:szCs w:val="17"/>
          <w:color w:val="auto"/>
        </w:rPr>
      </w:pPr>
    </w:p>
    <w:p>
      <w:pPr>
        <w:ind w:left="700" w:hanging="144"/>
        <w:spacing w:after="0"/>
        <w:tabs>
          <w:tab w:leader="none" w:pos="7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unrestricted subsidiaries.</w:t>
      </w:r>
    </w:p>
    <w:p>
      <w:pPr>
        <w:spacing w:after="0" w:line="250" w:lineRule="exact"/>
        <w:rPr>
          <w:sz w:val="20"/>
          <w:szCs w:val="20"/>
          <w:color w:val="auto"/>
        </w:rPr>
      </w:pPr>
    </w:p>
    <w:p>
      <w:pPr>
        <w:ind w:right="640" w:firstLine="393"/>
        <w:spacing w:after="0" w:line="268" w:lineRule="auto"/>
        <w:rPr>
          <w:sz w:val="20"/>
          <w:szCs w:val="20"/>
          <w:color w:val="auto"/>
        </w:rPr>
      </w:pPr>
      <w:r>
        <w:rPr>
          <w:rFonts w:ascii="Times New Roman" w:cs="Times New Roman" w:eastAsia="Times New Roman" w:hAnsi="Times New Roman"/>
          <w:sz w:val="17"/>
          <w:szCs w:val="17"/>
          <w:color w:val="auto"/>
        </w:rPr>
        <w:t>These covenants are subject to a number of important exceptions and qualifications. The indenture governing the 2031 Notes contains affirmative covenants and events of default that are customary for indentures governing high yield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2031 Notes and the related guarantees thereof are not subject to any registration rights agreements.</w:t>
      </w:r>
    </w:p>
    <w:p>
      <w:pPr>
        <w:spacing w:after="0" w:line="232" w:lineRule="exact"/>
        <w:rPr>
          <w:sz w:val="20"/>
          <w:szCs w:val="20"/>
          <w:color w:val="auto"/>
        </w:rPr>
      </w:pPr>
    </w:p>
    <w:p>
      <w:pPr>
        <w:ind w:left="200" w:right="1960" w:firstLine="197"/>
        <w:spacing w:after="0" w:line="490" w:lineRule="auto"/>
        <w:rPr>
          <w:sz w:val="20"/>
          <w:szCs w:val="20"/>
          <w:color w:val="auto"/>
        </w:rPr>
      </w:pPr>
      <w:r>
        <w:rPr>
          <w:rFonts w:ascii="Times New Roman" w:cs="Times New Roman" w:eastAsia="Times New Roman" w:hAnsi="Times New Roman"/>
          <w:sz w:val="17"/>
          <w:szCs w:val="17"/>
          <w:color w:val="auto"/>
        </w:rPr>
        <w:t xml:space="preserve">As of December 31, 2025, the Company was in compliance with the various covenants under the Company’s debt instruments. </w:t>
      </w:r>
      <w:r>
        <w:rPr>
          <w:rFonts w:ascii="Times New Roman" w:cs="Times New Roman" w:eastAsia="Times New Roman" w:hAnsi="Times New Roman"/>
          <w:sz w:val="17"/>
          <w:szCs w:val="17"/>
          <w:b w:val="1"/>
          <w:bCs w:val="1"/>
          <w:i w:val="1"/>
          <w:iCs w:val="1"/>
          <w:color w:val="auto"/>
        </w:rPr>
        <w:t>(d) Debt Balances</w:t>
      </w: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Outstanding debt balances as of December 31, 2025 and 2024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20" w:type="dxa"/>
            <w:vAlign w:val="bottom"/>
            <w:gridSpan w:val="3"/>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4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4"/>
        </w:trPr>
        <w:tc>
          <w:tcPr>
            <w:tcW w:w="57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Credit Facility</w:t>
            </w:r>
          </w:p>
        </w:tc>
        <w:tc>
          <w:tcPr>
            <w:tcW w:w="1760" w:type="dxa"/>
            <w:vAlign w:val="bottom"/>
            <w:shd w:val="clear" w:color="auto" w:fill="CCEEFF"/>
          </w:tcPr>
          <w:p>
            <w:pPr>
              <w:jc w:val="right"/>
              <w:ind w:right="1578"/>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 Notes</w:t>
            </w:r>
          </w:p>
        </w:tc>
        <w:tc>
          <w:tcPr>
            <w:tcW w:w="17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 Notes</w:t>
            </w:r>
          </w:p>
        </w:tc>
        <w:tc>
          <w:tcPr>
            <w:tcW w:w="17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2031 Notes</w:t>
            </w:r>
          </w:p>
        </w:tc>
        <w:tc>
          <w:tcPr>
            <w:tcW w:w="1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debt outstanding</w:t>
            </w:r>
          </w:p>
        </w:tc>
        <w:tc>
          <w:tcPr>
            <w:tcW w:w="17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1,060,000</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fees and premium</w:t>
            </w:r>
          </w:p>
        </w:tc>
        <w:tc>
          <w:tcPr>
            <w:tcW w:w="17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(4,128)</w:t>
            </w:r>
          </w:p>
        </w:tc>
      </w:tr>
      <w:tr>
        <w:trPr>
          <w:trHeight w:val="241"/>
        </w:trPr>
        <w:tc>
          <w:tcPr>
            <w:tcW w:w="5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Long-term portion of notes payable</w:t>
            </w:r>
          </w:p>
        </w:tc>
        <w:tc>
          <w:tcPr>
            <w:tcW w:w="1760" w:type="dxa"/>
            <w:vAlign w:val="bottom"/>
            <w:tcBorders>
              <w:bottom w:val="single" w:sz="8" w:color="auto"/>
            </w:tcBorders>
            <w:shd w:val="clear" w:color="auto" w:fill="CCEEFF"/>
          </w:tcPr>
          <w:p>
            <w:pPr>
              <w:jc w:val="right"/>
              <w:ind w:right="1578"/>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767,053</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1,055,872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40" w:firstLine="433"/>
        <w:spacing w:after="0" w:line="270" w:lineRule="auto"/>
        <w:rPr>
          <w:sz w:val="20"/>
          <w:szCs w:val="20"/>
          <w:color w:val="auto"/>
        </w:rPr>
      </w:pPr>
      <w:r>
        <w:rPr>
          <w:rFonts w:ascii="Times New Roman" w:cs="Times New Roman" w:eastAsia="Times New Roman" w:hAnsi="Times New Roman"/>
          <w:sz w:val="17"/>
          <w:szCs w:val="17"/>
          <w:color w:val="auto"/>
        </w:rPr>
        <w:t>The Company’s 4.625% Senior Notes due 2027, which were issued in October 2019, with an additional issuance in August 2020, were fully redeemed during the fourth quarter of 2025. As of December 31, 2025, the Company had outstanding letters of credit of $20,158, collateralized under the Senior Credit Facility, and $404,842 of available credit under the Senior Credit Facility. Outstanding borrowings under the Senior Credit Facility bore interest at a rate of 5.5% based on SOFR as of December 31, 2025.</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(e) Letters of Credit</w:t>
      </w:r>
    </w:p>
    <w:p>
      <w:pPr>
        <w:spacing w:after="0" w:line="176" w:lineRule="exact"/>
        <w:rPr>
          <w:sz w:val="20"/>
          <w:szCs w:val="20"/>
          <w:color w:val="auto"/>
        </w:rPr>
      </w:pPr>
    </w:p>
    <w:p>
      <w:pPr>
        <w:ind w:firstLine="433"/>
        <w:spacing w:after="0" w:line="274" w:lineRule="auto"/>
        <w:rPr>
          <w:sz w:val="20"/>
          <w:szCs w:val="20"/>
          <w:color w:val="auto"/>
        </w:rPr>
      </w:pPr>
      <w:r>
        <w:rPr>
          <w:rFonts w:ascii="Times New Roman" w:cs="Times New Roman" w:eastAsia="Times New Roman" w:hAnsi="Times New Roman"/>
          <w:sz w:val="17"/>
          <w:szCs w:val="17"/>
          <w:color w:val="auto"/>
        </w:rPr>
        <w:t>At December 31, 2025, the Company maintained outstanding standby letters of credit totaling $20,816 as collateral in relation to its workers’ compensation insurance agreements and a corporate office lease agreement. Of the $20,816 outstanding letters of credit, the Company has collateralized $658 in cash and cash equivalents and the remaining $20,158 is collateralized by the Senior Credit Facility. Outstanding standby letters of credit at December 31, 2024 totaled $20,912.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Retirement Plans</w:t>
      </w:r>
    </w:p>
    <w:p>
      <w:pPr>
        <w:spacing w:after="0" w:line="187"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Company maintains the AMN Services 401(k) Retirement Savings Plan (the “AMN Plan”), which the Company believes complies with the IRC Section 401(k) provisions. The AMN Plan covers all employees that meet certain age and other eligibility requirements. A discretionary matching contribution is determined by the Company each year. Employer contribution expenses incurred under the AMN Plan were $1,415, $4,004 and $5,673 for the years ended December 31, 2025, 2024 and 2023, respectively.</w:t>
      </w:r>
    </w:p>
    <w:p>
      <w:pPr>
        <w:spacing w:after="0" w:line="130" w:lineRule="exact"/>
        <w:rPr>
          <w:sz w:val="20"/>
          <w:szCs w:val="20"/>
          <w:color w:val="auto"/>
        </w:rPr>
      </w:pPr>
    </w:p>
    <w:p>
      <w:pPr>
        <w:ind w:right="120" w:firstLine="433"/>
        <w:spacing w:after="0" w:line="261" w:lineRule="auto"/>
        <w:rPr>
          <w:sz w:val="20"/>
          <w:szCs w:val="20"/>
          <w:color w:val="auto"/>
        </w:rPr>
      </w:pPr>
      <w:r>
        <w:rPr>
          <w:rFonts w:ascii="Times New Roman" w:cs="Times New Roman" w:eastAsia="Times New Roman" w:hAnsi="Times New Roman"/>
          <w:sz w:val="17"/>
          <w:szCs w:val="17"/>
          <w:color w:val="auto"/>
        </w:rPr>
        <w:t>The Company has a deferred compensation plan for certain executives and employees (the “Plan”). The Plan is not intended to be tax qualified and is an unfunded plan. The Plan is composed of deferred compensation and all related income and losses attributable thereto. Discretionary matching contributions to the Plan are made that vest incrementally so that the employee is fully vested in the match following five years of employment with the Company. Under the Plan, participants can defer up to 80% of their base salary, 90% of their variable compensation and 100% of their vested RSUs or vested PRSUs. A discretionary matching contribution is determined by the Company each year. Employer contributions under the Plan were $2,257, $6,849 and $10,822 for the years ended December 31, 2025, 2024 and 2023, respectively. Plan contributions are included within accrued compensation and benefits in the consolidated balance sheets. The Company presents these amounts as short-term liabilities because the timing of settlement is uncertain due to factors such as employee turnover, fluctuating account balances and participant distribution elections. In connection with the administration of the Plan, the Company has purchased company-owned life insurance policies insuring the lives of certain officers and employees. The cash surrender value of these policies was $215,513 and $194,350 at December 31, 2025 and 2024, respectively. The cash surrender value of these insurance policies is included in other assets in the consolidated balance sheets.</w:t>
      </w:r>
    </w:p>
    <w:p>
      <w:pPr>
        <w:spacing w:after="0" w:line="351" w:lineRule="exact"/>
        <w:rPr>
          <w:sz w:val="20"/>
          <w:szCs w:val="20"/>
          <w:color w:val="auto"/>
        </w:rPr>
      </w:pPr>
    </w:p>
    <w:p>
      <w:pPr>
        <w:ind w:left="340" w:hanging="335"/>
        <w:spacing w:after="0"/>
        <w:tabs>
          <w:tab w:leader="none" w:pos="3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 Stock</w:t>
      </w:r>
    </w:p>
    <w:p>
      <w:pPr>
        <w:spacing w:after="0" w:line="169" w:lineRule="exact"/>
        <w:rPr>
          <w:rFonts w:ascii="Times New Roman" w:cs="Times New Roman" w:eastAsia="Times New Roman" w:hAnsi="Times New Roman"/>
          <w:sz w:val="17"/>
          <w:szCs w:val="17"/>
          <w:b w:val="1"/>
          <w:bCs w:val="1"/>
          <w:color w:val="auto"/>
        </w:rPr>
      </w:pPr>
    </w:p>
    <w:p>
      <w:pPr>
        <w:ind w:left="440" w:hanging="238"/>
        <w:spacing w:after="0"/>
        <w:tabs>
          <w:tab w:leader="none" w:pos="440" w:val="left"/>
        </w:tabs>
        <w:numPr>
          <w:ilvl w:val="1"/>
          <w:numId w:val="2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Preferred Stock</w:t>
      </w:r>
    </w:p>
    <w:p>
      <w:pPr>
        <w:spacing w:after="0" w:line="189" w:lineRule="exact"/>
        <w:rPr>
          <w:sz w:val="20"/>
          <w:szCs w:val="20"/>
          <w:color w:val="auto"/>
        </w:rPr>
      </w:pPr>
    </w:p>
    <w:p>
      <w:pPr>
        <w:ind w:right="320" w:firstLine="433"/>
        <w:spacing w:after="0" w:line="297" w:lineRule="auto"/>
        <w:rPr>
          <w:sz w:val="20"/>
          <w:szCs w:val="20"/>
          <w:color w:val="auto"/>
        </w:rPr>
      </w:pPr>
      <w:r>
        <w:rPr>
          <w:rFonts w:ascii="Times New Roman" w:cs="Times New Roman" w:eastAsia="Times New Roman" w:hAnsi="Times New Roman"/>
          <w:sz w:val="17"/>
          <w:szCs w:val="17"/>
          <w:color w:val="auto"/>
        </w:rPr>
        <w:t>The Company has 10,000 shares of preferred stock authorized for issuance in one or more series (including preferred stock designated as Series A Conditional Convertible Preferred Stock), at a par value of $0.01 per share. At December 31, 2025 and 2024, no shares of preferred stock were outstanding.</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(b) Treasury Stock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40" w:firstLine="393"/>
        <w:spacing w:after="0" w:line="265" w:lineRule="auto"/>
        <w:rPr>
          <w:sz w:val="20"/>
          <w:szCs w:val="20"/>
          <w:color w:val="auto"/>
        </w:rPr>
      </w:pPr>
      <w:r>
        <w:rPr>
          <w:rFonts w:ascii="Times New Roman" w:cs="Times New Roman" w:eastAsia="Times New Roman" w:hAnsi="Times New Roman"/>
          <w:sz w:val="17"/>
          <w:szCs w:val="17"/>
          <w:color w:val="auto"/>
        </w:rPr>
        <w:t>On November 1, 2016, the Company’s board of directors approved a share repurchase program under which the Company may repurchase up to $150,000 of its outstanding common stock. On November 10, 2021, February 17, 2022, June 15, 2022, and February 16, 2023, the Company announced increases to the share repurchase program totaling $1,200,000 for a total of $1,350,000 of repurchase authorization, of which $226,658 remained on the repurchase program as of December 31, 2025. The amount and timing of the purchases will depend on a number of factors including the price of the Company’s shares, trading volume, Company performance, Company liquidity, general economic and market conditions and other factors that the Company’s management believes are relevant. The share repurchase program does not require the purchase of any minimum number of shares and may be suspended or discontinued at any time.</w:t>
      </w:r>
    </w:p>
    <w:p>
      <w:pPr>
        <w:spacing w:after="0" w:line="200" w:lineRule="exact"/>
        <w:rPr>
          <w:sz w:val="20"/>
          <w:szCs w:val="20"/>
          <w:color w:val="auto"/>
        </w:rPr>
      </w:pPr>
    </w:p>
    <w:p>
      <w:pPr>
        <w:ind w:right="140" w:firstLine="393"/>
        <w:spacing w:after="0" w:line="267" w:lineRule="auto"/>
        <w:rPr>
          <w:sz w:val="20"/>
          <w:szCs w:val="20"/>
          <w:color w:val="auto"/>
        </w:rPr>
      </w:pPr>
      <w:r>
        <w:rPr>
          <w:rFonts w:ascii="Times New Roman" w:cs="Times New Roman" w:eastAsia="Times New Roman" w:hAnsi="Times New Roman"/>
          <w:sz w:val="17"/>
          <w:szCs w:val="17"/>
          <w:color w:val="auto"/>
        </w:rPr>
        <w:t>The Company intends to make all repurchases and to administer the plan in accordance with applicable laws and regulatory guidelines, including Rule 10b-18 of the Exchange Act, and in compliance with its debt instruments. Repurchases may be made from cash on hand, free cash flow generated from the Company’s business or from the Company’s Senior Credit Facility. Repurchases may be made from time to time through open market purchases or privately negotiated transactions. Repurchases may also be made pursuant to one or more plans established pursuant to Rule 10b5-1 under the Exchange Act that would permit shares to be repurchased when the Company might otherwise be precluded from doing so under the Company’s securities trading policy.</w:t>
      </w:r>
    </w:p>
    <w:p>
      <w:pPr>
        <w:spacing w:after="0" w:line="198" w:lineRule="exact"/>
        <w:rPr>
          <w:sz w:val="20"/>
          <w:szCs w:val="20"/>
          <w:color w:val="auto"/>
        </w:rPr>
      </w:pPr>
    </w:p>
    <w:p>
      <w:pPr>
        <w:ind w:right="120" w:firstLine="393"/>
        <w:spacing w:after="0" w:line="277" w:lineRule="auto"/>
        <w:rPr>
          <w:sz w:val="20"/>
          <w:szCs w:val="20"/>
          <w:color w:val="auto"/>
        </w:rPr>
      </w:pPr>
      <w:r>
        <w:rPr>
          <w:rFonts w:ascii="Times New Roman" w:cs="Times New Roman" w:eastAsia="Times New Roman" w:hAnsi="Times New Roman"/>
          <w:sz w:val="17"/>
          <w:szCs w:val="17"/>
          <w:color w:val="auto"/>
        </w:rPr>
        <w:t>During the years ended December 31, 2025 and 2024, the Company did not repurchase any shares of its common stock. The total number of shares repurchased, average price per share (excluding broker’s fees), and total cost (excluding the effect of excise taxes) for the year ended December 31,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1"/>
        </w:trPr>
        <w:tc>
          <w:tcPr>
            <w:tcW w:w="9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0"/>
        </w:trPr>
        <w:tc>
          <w:tcPr>
            <w:tcW w:w="9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shares repurchased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price per share</w:t>
            </w:r>
          </w:p>
        </w:tc>
        <w:tc>
          <w:tcPr>
            <w:tcW w:w="3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96.90</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 of share repurchases</w:t>
            </w:r>
          </w:p>
        </w:tc>
        <w:tc>
          <w:tcPr>
            <w:tcW w:w="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424,744</w:t>
            </w:r>
          </w:p>
        </w:tc>
      </w:tr>
    </w:tbl>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year ended December 31, 2023, the Company repurchased 2,362 shares of its common stock through the open market at an average price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$95.13 per share (excluding broker’s fees) for an aggregate purchase price of $224,744 (excluding the effect of excise taxes). Additionally, on May 8, 2023,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entered into an accelerated share repurchase (“ASR”) agreement with a counterparty whereupon the Company prepaid $200,000 and received 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delivery of 1,760 shares of its common stock, which was 80% of the prepayment amount based on a price of $90.89 per share. On August 10, 2023,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received a final delivery of approximately 261 additional shares of its common stock, representing the remaining 20% of the prepayment and the final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settlement of the ASR agreement. The total number of shares received and average price per share of $98.97 was based on the volume-weighted average price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term of the ASR agreement, less an agreed upon discount. The Company recognized the shares delivered pursuant to the ASR as increases to treasury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in the consolidated statements of stockholders’ equity during the year ended December 31, 2023.</w:t>
      </w:r>
    </w:p>
    <w:p>
      <w:pPr>
        <w:spacing w:after="0" w:line="230" w:lineRule="exact"/>
        <w:rPr>
          <w:sz w:val="20"/>
          <w:szCs w:val="20"/>
          <w:color w:val="auto"/>
        </w:rPr>
      </w:pPr>
    </w:p>
    <w:p>
      <w:pPr>
        <w:ind w:left="340" w:hanging="335"/>
        <w:spacing w:after="0"/>
        <w:tabs>
          <w:tab w:leader="none" w:pos="34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182" w:lineRule="exact"/>
        <w:rPr>
          <w:rFonts w:ascii="Times New Roman" w:cs="Times New Roman" w:eastAsia="Times New Roman" w:hAnsi="Times New Roman"/>
          <w:sz w:val="17"/>
          <w:szCs w:val="17"/>
          <w:b w:val="1"/>
          <w:bCs w:val="1"/>
          <w:color w:val="auto"/>
        </w:rPr>
      </w:pPr>
    </w:p>
    <w:p>
      <w:pPr>
        <w:ind w:left="440" w:right="9340" w:hanging="238"/>
        <w:spacing w:after="0" w:line="469" w:lineRule="auto"/>
        <w:tabs>
          <w:tab w:leader="none" w:pos="451" w:val="left"/>
        </w:tabs>
        <w:numPr>
          <w:ilvl w:val="1"/>
          <w:numId w:val="2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Equity Award Plans </w:t>
      </w:r>
      <w:r>
        <w:rPr>
          <w:rFonts w:ascii="Times New Roman" w:cs="Times New Roman" w:eastAsia="Times New Roman" w:hAnsi="Times New Roman"/>
          <w:sz w:val="17"/>
          <w:szCs w:val="17"/>
          <w:u w:val="single" w:color="auto"/>
          <w:color w:val="auto"/>
        </w:rPr>
        <w:t>Equity Plan</w:t>
      </w:r>
    </w:p>
    <w:p>
      <w:pPr>
        <w:spacing w:after="0" w:line="1" w:lineRule="exact"/>
        <w:rPr>
          <w:sz w:val="20"/>
          <w:szCs w:val="20"/>
          <w:color w:val="auto"/>
        </w:rPr>
      </w:pPr>
    </w:p>
    <w:p>
      <w:pPr>
        <w:jc w:val="both"/>
        <w:ind w:right="80" w:firstLine="433"/>
        <w:spacing w:after="0" w:line="270" w:lineRule="auto"/>
        <w:rPr>
          <w:sz w:val="20"/>
          <w:szCs w:val="20"/>
          <w:color w:val="auto"/>
        </w:rPr>
      </w:pPr>
      <w:r>
        <w:rPr>
          <w:rFonts w:ascii="Times New Roman" w:cs="Times New Roman" w:eastAsia="Times New Roman" w:hAnsi="Times New Roman"/>
          <w:sz w:val="17"/>
          <w:szCs w:val="17"/>
          <w:color w:val="auto"/>
        </w:rPr>
        <w:t>The Company established the AMN Healthcare Equity Plan (as amended or amended and restated from time to time, the “Equity Plan”), which has been approved by the Company’s stockholders. Any shares to be issued under the Equity Plan will be issued by the Company from authorized but unissued common stock or shares of common stock reacquired by the Company. As of December 31, 2025 and 2024, 1,897 and 1,668 shares of common stock were reserved for future grants under the Equity Plan, respectively.</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auto"/>
        </w:rPr>
        <w:t>Employee Stock Purchase Plan</w:t>
      </w:r>
    </w:p>
    <w:p>
      <w:pPr>
        <w:spacing w:after="0" w:line="185"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During 2023, the Company established the AMN Healthcare Services, Inc. Employee Stock Purchase Plan (the “ESPP”) which authorizes the issuance of up to 1,000 shares of the Company’s common stock. The ESPP provides eligible employees with the opportunity to purchase shares of the Company’s common stock at a discount through payroll deductions during a six-month purchase period. Shares are purchased at 85% of the fair market value of the Company’s common stock on the offering date or the purchase date of the applicable purchase period, whichever is lower. Employee contributions were $2,022 and $3,250 for the years ended December 31, 2025 and 2024, respectively. There were 123 and 78 shares issued under the ESPP during the years ended December 31, 2025 and 2024, respectively, and the number of shares remaining available for future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was 799 as of December 31, 2025. No purchases were made and no shares were issued under the ESPP during the year ended December 31, 2023.</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auto"/>
        </w:rPr>
        <w:t>Other Plans</w:t>
      </w:r>
    </w:p>
    <w:p>
      <w:pPr>
        <w:spacing w:after="0" w:line="185" w:lineRule="exact"/>
        <w:rPr>
          <w:sz w:val="20"/>
          <w:szCs w:val="20"/>
          <w:color w:val="auto"/>
        </w:rPr>
      </w:pPr>
    </w:p>
    <w:p>
      <w:pPr>
        <w:ind w:right="160" w:firstLine="433"/>
        <w:spacing w:after="0" w:line="277" w:lineRule="auto"/>
        <w:rPr>
          <w:sz w:val="20"/>
          <w:szCs w:val="20"/>
          <w:color w:val="auto"/>
        </w:rPr>
      </w:pPr>
      <w:r>
        <w:rPr>
          <w:rFonts w:ascii="Times New Roman" w:cs="Times New Roman" w:eastAsia="Times New Roman" w:hAnsi="Times New Roman"/>
          <w:sz w:val="17"/>
          <w:szCs w:val="17"/>
          <w:color w:val="auto"/>
        </w:rPr>
        <w:t>From time to time, the Company grants, and has granted, key employees inducement awards outside of the Equity Plan (collectively, “Other Plans”), which have recently consisted of RSUs. Although these awards are not made under the Equity Plan, the key terms and conditions of the grant are typically the same as equity awards made under the Equity Plan.</w:t>
      </w:r>
    </w:p>
    <w:p>
      <w:pPr>
        <w:spacing w:after="0" w:line="106" w:lineRule="exact"/>
        <w:rPr>
          <w:sz w:val="20"/>
          <w:szCs w:val="20"/>
          <w:color w:val="auto"/>
        </w:rPr>
      </w:pPr>
    </w:p>
    <w:p>
      <w:pPr>
        <w:ind w:left="440" w:right="8760" w:hanging="238"/>
        <w:spacing w:after="0" w:line="469" w:lineRule="auto"/>
        <w:tabs>
          <w:tab w:leader="none" w:pos="451" w:val="left"/>
        </w:tabs>
        <w:numPr>
          <w:ilvl w:val="0"/>
          <w:numId w:val="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Share-Based Compensation </w:t>
      </w:r>
      <w:r>
        <w:rPr>
          <w:rFonts w:ascii="Times New Roman" w:cs="Times New Roman" w:eastAsia="Times New Roman" w:hAnsi="Times New Roman"/>
          <w:sz w:val="17"/>
          <w:szCs w:val="17"/>
          <w:u w:val="single" w:color="auto"/>
          <w:color w:val="auto"/>
        </w:rPr>
        <w:t>Restricted Stock Units</w:t>
      </w:r>
    </w:p>
    <w:p>
      <w:pPr>
        <w:spacing w:after="0" w:line="1" w:lineRule="exact"/>
        <w:rPr>
          <w:sz w:val="20"/>
          <w:szCs w:val="20"/>
          <w:color w:val="auto"/>
        </w:rPr>
      </w:pPr>
    </w:p>
    <w:p>
      <w:pPr>
        <w:ind w:right="40" w:firstLine="433"/>
        <w:spacing w:after="0" w:line="271" w:lineRule="auto"/>
        <w:rPr>
          <w:sz w:val="20"/>
          <w:szCs w:val="20"/>
          <w:color w:val="auto"/>
        </w:rPr>
      </w:pPr>
      <w:r>
        <w:rPr>
          <w:rFonts w:ascii="Times New Roman" w:cs="Times New Roman" w:eastAsia="Times New Roman" w:hAnsi="Times New Roman"/>
          <w:sz w:val="17"/>
          <w:szCs w:val="17"/>
          <w:color w:val="auto"/>
        </w:rPr>
        <w:t>RSUs and PRSUs (subject to performance conditions being achieved) granted under the Equity Plan generally entitle the holder to receive, at the end of a vesting period, a specified number of shares of the Company’s common stock. The following table summarizes RSU and PRSU activity for the years ended December 31, 2025, 2024 and 2023:</w:t>
      </w:r>
    </w:p>
    <w:tbl>
      <w:tblPr>
        <w:tblLayout w:type="fixed"/>
        <w:tblInd w:w="0" w:type="dxa"/>
        <w:tblCellMar>
          <w:top w:w="0" w:type="dxa"/>
          <w:left w:w="0" w:type="dxa"/>
          <w:bottom w:w="0" w:type="dxa"/>
          <w:right w:w="0" w:type="dxa"/>
        </w:tblCellMar>
      </w:tblPr>
      <w:tr>
        <w:trPr>
          <w:trHeight w:val="145"/>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43"/>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76"/>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33"/>
        </w:trPr>
        <w:tc>
          <w:tcPr>
            <w:tcW w:w="8040" w:type="dxa"/>
            <w:vAlign w:val="bottom"/>
          </w:tcPr>
          <w:p>
            <w:pPr>
              <w:spacing w:after="0"/>
              <w:rPr>
                <w:sz w:val="11"/>
                <w:szCs w:val="11"/>
                <w:color w:val="auto"/>
              </w:rPr>
            </w:pPr>
          </w:p>
        </w:tc>
        <w:tc>
          <w:tcPr>
            <w:tcW w:w="1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Times New Roman" w:cs="Times New Roman" w:eastAsia="Times New Roman" w:hAnsi="Times New Roman"/>
                <w:sz w:val="14"/>
                <w:szCs w:val="14"/>
                <w:b w:val="1"/>
                <w:bCs w:val="1"/>
                <w:color w:val="auto"/>
                <w:w w:val="97"/>
              </w:rPr>
              <w:t>Fair Value per</w:t>
            </w:r>
          </w:p>
        </w:tc>
        <w:tc>
          <w:tcPr>
            <w:tcW w:w="0" w:type="dxa"/>
            <w:vAlign w:val="bottom"/>
          </w:tcPr>
          <w:p>
            <w:pPr>
              <w:spacing w:after="0"/>
              <w:rPr>
                <w:sz w:val="1"/>
                <w:szCs w:val="1"/>
                <w:color w:val="auto"/>
              </w:rPr>
            </w:pPr>
          </w:p>
        </w:tc>
      </w:tr>
      <w:tr>
        <w:trPr>
          <w:trHeight w:val="185"/>
        </w:trPr>
        <w:tc>
          <w:tcPr>
            <w:tcW w:w="80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January 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94.79</w:t>
            </w:r>
          </w:p>
        </w:tc>
        <w:tc>
          <w:tcPr>
            <w:tcW w:w="0" w:type="dxa"/>
            <w:vAlign w:val="bottom"/>
          </w:tcPr>
          <w:p>
            <w:pPr>
              <w:spacing w:after="0"/>
              <w:rPr>
                <w:sz w:val="1"/>
                <w:szCs w:val="1"/>
                <w:color w:val="auto"/>
              </w:rPr>
            </w:pP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7"/>
                <w:szCs w:val="17"/>
                <w:color w:val="auto"/>
              </w:rPr>
              <w:t xml:space="preserve">Granted—PRSUs </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109.74</w:t>
            </w:r>
          </w:p>
        </w:tc>
        <w:tc>
          <w:tcPr>
            <w:tcW w:w="0" w:type="dxa"/>
            <w:vAlign w:val="bottom"/>
          </w:tcPr>
          <w:p>
            <w:pPr>
              <w:spacing w:after="0"/>
              <w:rPr>
                <w:sz w:val="1"/>
                <w:szCs w:val="1"/>
                <w:color w:val="auto"/>
              </w:rPr>
            </w:pP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Canceled/forfeited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104.14</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Granted—RSUs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61.30</w:t>
            </w:r>
          </w:p>
        </w:tc>
        <w:tc>
          <w:tcPr>
            <w:tcW w:w="0" w:type="dxa"/>
            <w:vAlign w:val="bottom"/>
          </w:tcPr>
          <w:p>
            <w:pPr>
              <w:spacing w:after="0"/>
              <w:rPr>
                <w:sz w:val="1"/>
                <w:szCs w:val="1"/>
                <w:color w:val="auto"/>
              </w:rPr>
            </w:pPr>
          </w:p>
        </w:tc>
      </w:tr>
      <w:tr>
        <w:trPr>
          <w:trHeight w:val="223"/>
        </w:trPr>
        <w:tc>
          <w:tcPr>
            <w:tcW w:w="8040" w:type="dxa"/>
            <w:vAlign w:val="bottom"/>
          </w:tcPr>
          <w:p>
            <w:pPr>
              <w:ind w:left="340"/>
              <w:spacing w:after="0" w:line="223" w:lineRule="exact"/>
              <w:rPr>
                <w:sz w:val="20"/>
                <w:szCs w:val="20"/>
                <w:color w:val="auto"/>
              </w:rPr>
            </w:pPr>
            <w:r>
              <w:rPr>
                <w:rFonts w:ascii="Times New Roman" w:cs="Times New Roman" w:eastAsia="Times New Roman" w:hAnsi="Times New Roman"/>
                <w:sz w:val="17"/>
                <w:szCs w:val="17"/>
                <w:color w:val="auto"/>
              </w:rPr>
              <w:t xml:space="preserve">Granted—PRSUs </w:t>
            </w:r>
            <w:r>
              <w:rPr>
                <w:rFonts w:ascii="Times New Roman" w:cs="Times New Roman" w:eastAsia="Times New Roman" w:hAnsi="Times New Roman"/>
                <w:sz w:val="22"/>
                <w:szCs w:val="22"/>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89.64</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Canceled/forfeited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77.81</w:t>
            </w:r>
          </w:p>
        </w:tc>
        <w:tc>
          <w:tcPr>
            <w:tcW w:w="0" w:type="dxa"/>
            <w:vAlign w:val="bottom"/>
          </w:tcPr>
          <w:p>
            <w:pPr>
              <w:spacing w:after="0"/>
              <w:rPr>
                <w:sz w:val="1"/>
                <w:szCs w:val="1"/>
                <w:color w:val="auto"/>
              </w:rPr>
            </w:pP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Granted—RSUs</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line="223" w:lineRule="exact"/>
              <w:rPr>
                <w:sz w:val="20"/>
                <w:szCs w:val="20"/>
                <w:color w:val="auto"/>
              </w:rPr>
            </w:pPr>
            <w:r>
              <w:rPr>
                <w:rFonts w:ascii="Times New Roman" w:cs="Times New Roman" w:eastAsia="Times New Roman" w:hAnsi="Times New Roman"/>
                <w:sz w:val="17"/>
                <w:szCs w:val="17"/>
                <w:color w:val="auto"/>
              </w:rPr>
              <w:t xml:space="preserve">Granted—PRSUs </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0" w:type="dxa"/>
            <w:vAlign w:val="bottom"/>
          </w:tcPr>
          <w:p>
            <w:pPr>
              <w:spacing w:after="0"/>
              <w:rPr>
                <w:sz w:val="1"/>
                <w:szCs w:val="1"/>
                <w:color w:val="auto"/>
              </w:rPr>
            </w:pPr>
          </w:p>
        </w:tc>
      </w:tr>
      <w:tr>
        <w:trPr>
          <w:trHeight w:val="223"/>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Canceled/forfeited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63.73</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PRSUs granted included both the PRSUs granted during the year at the target amount and the additional shares of prior period granted PRSUs vested during the year in excess of the target shares.</w:t>
      </w:r>
    </w:p>
    <w:p>
      <w:pPr>
        <w:spacing w:after="0" w:line="250"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2025, there was $30,404 unrecognized compensation cost related to unvested RSUs and PRSUs. The Company expects to recognize such cost over a period of 1.7 years. As of December 31, 2025 and 2024, the aggregate intrinsic value of the RSUs and PRSUs outstanding was $28,274 and $21,834, respectively.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u w:val="single" w:color="auto"/>
          <w:color w:val="auto"/>
        </w:rPr>
        <w:t>Share-Based Compensation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Total share-based compensation expense for the years ended December 31, 2025, 2024 and 2023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employee compensation, before tax</w:t>
            </w:r>
          </w:p>
        </w:tc>
        <w:tc>
          <w:tcPr>
            <w:tcW w:w="86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23,317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18,020</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Related income tax benefits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(7,978)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(6,062)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(4,685)</w:t>
            </w: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employee compensation, net of tax</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22,705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17,255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13,335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3"/>
        <w:spacing w:after="0" w:line="261" w:lineRule="auto"/>
        <w:rPr>
          <w:sz w:val="20"/>
          <w:szCs w:val="20"/>
          <w:color w:val="auto"/>
        </w:rPr>
      </w:pPr>
      <w:r>
        <w:rPr>
          <w:rFonts w:ascii="Times New Roman" w:cs="Times New Roman" w:eastAsia="Times New Roman" w:hAnsi="Times New Roman"/>
          <w:sz w:val="17"/>
          <w:szCs w:val="17"/>
          <w:color w:val="auto"/>
        </w:rPr>
        <w:t>From time to time, the Company is involved in various lawsuits, claims, investigations, and proceedings that arise in the ordinary course of business. These matters typically relate to professional liability, tax, compensation, contract, competitor disputes and employee-related matters and include individual, representative and class action lawsuits, as well as inquiries and investigations by governmental agencies regarding the Company’s employment and compensation practices. Additionally, some of the Company’s clients may also become subject to claims, governmental inquiries and investigations, and legal actions relating to services provided by the Company’s healthcare professionals. Depending upon the particular facts and circumstances, the Company may also be subject to indemnification obligations under its contracts with such clients relating to these matters. The Company accrues for contingencies and records a liability when management believes an adverse outcome from a loss contingency is both probable and the amount, or a range, can be reasonably estimated. Significant judgment is required to determine both probability of loss and the estimated amount. The Company reviews its loss contingencies at least quarterly and adjusts its accruals and/or disclosures to reflect the impact of negotiations, settlements, rulings, advice of legal counsel, or other new information, as deemed necessary. The most significant matters for which the Company has established loss contingencies are class and representative actions related to wage and hour claims under California and Federal law. Specifically, among other claims in these lawsuits, it is alleged that certain expense reimbursements should be considered wages and included in the regular rate of pay for purposes of calculating overtime rates.</w:t>
      </w:r>
    </w:p>
    <w:p>
      <w:pPr>
        <w:spacing w:after="0" w:line="203" w:lineRule="exact"/>
        <w:rPr>
          <w:sz w:val="20"/>
          <w:szCs w:val="20"/>
          <w:color w:val="auto"/>
        </w:rPr>
      </w:pPr>
    </w:p>
    <w:p>
      <w:pPr>
        <w:ind w:right="80" w:firstLine="433"/>
        <w:spacing w:after="0" w:line="255" w:lineRule="auto"/>
        <w:rPr>
          <w:sz w:val="20"/>
          <w:szCs w:val="20"/>
          <w:color w:val="auto"/>
        </w:rPr>
      </w:pPr>
      <w:r>
        <w:rPr>
          <w:rFonts w:ascii="Times New Roman" w:cs="Times New Roman" w:eastAsia="Times New Roman" w:hAnsi="Times New Roman"/>
          <w:sz w:val="17"/>
          <w:szCs w:val="17"/>
          <w:color w:val="auto"/>
        </w:rPr>
        <w:t>On May 26, 2016, former travel nurse Verna Maxwell Clarke filed a complaint against AMN Services, LLC, in California Superior Court in Los Angeles County. The Company removed the case to the United States District Court for the Central District of California (Case No. 2:16-cv-04132-DSF-KS) (the “Clarke Matter”). The complaint asserts that, due to the Company’s per diem adjustment practices, traveling nurses’ per diem benefits should be included in their regular rate of pay for the purposes of calculating their overtime compensation. The Company reached an agreement to settle this matter in its entirety and accordingly recorded an accrual amounting to $62,000. Final approval of the settlement was granted in the second quarter of 2024, and the Company disbursed the settlement amount in the third quarter of 2024.</w:t>
      </w:r>
    </w:p>
    <w:p>
      <w:pPr>
        <w:spacing w:after="0" w:line="1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4"/>
          <w:szCs w:val="24"/>
          <w:b w:val="1"/>
          <w:bCs w:val="1"/>
          <w:color w:val="auto"/>
        </w:rPr>
        <w:t>Item 9.</w:t>
      </w:r>
      <w:r>
        <w:rPr>
          <w:sz w:val="20"/>
          <w:szCs w:val="20"/>
          <w:color w:val="auto"/>
        </w:rPr>
        <w:tab/>
      </w:r>
      <w:r>
        <w:rPr>
          <w:rFonts w:ascii="Times New Roman" w:cs="Times New Roman" w:eastAsia="Times New Roman" w:hAnsi="Times New Roman"/>
          <w:sz w:val="24"/>
          <w:szCs w:val="24"/>
          <w:b w:val="1"/>
          <w:bCs w:val="1"/>
          <w:i w:val="1"/>
          <w:iCs w:val="1"/>
          <w:color w:val="auto"/>
        </w:rPr>
        <w:t>Changes In and Disagreements With Accountants on Accounting and Financial Disclosure</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4"/>
          <w:szCs w:val="24"/>
          <w:b w:val="1"/>
          <w:bCs w:val="1"/>
          <w:color w:val="auto"/>
        </w:rPr>
        <w:t>Item 9A.</w:t>
      </w:r>
      <w:r>
        <w:rPr>
          <w:sz w:val="20"/>
          <w:szCs w:val="20"/>
          <w:color w:val="auto"/>
        </w:rPr>
        <w:tab/>
      </w:r>
      <w:r>
        <w:rPr>
          <w:rFonts w:ascii="Times New Roman" w:cs="Times New Roman" w:eastAsia="Times New Roman" w:hAnsi="Times New Roman"/>
          <w:sz w:val="24"/>
          <w:szCs w:val="24"/>
          <w:b w:val="1"/>
          <w:bCs w:val="1"/>
          <w:i w:val="1"/>
          <w:iCs w:val="1"/>
          <w:color w:val="auto"/>
        </w:rPr>
        <w:t>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Evaluation of Disclosure Controls and Procedures</w:t>
      </w:r>
    </w:p>
    <w:p>
      <w:pPr>
        <w:spacing w:after="0" w:line="187"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our management, including our principal executive officer and principal financial officer, of the effectiveness of our disclosure controls and procedures, as defined in Rules 13a-15(e) and 15d-15(e) of the Exchange Act. Based on that evaluation, our Chief Executive Officer and our Chief Financial Officer and Chief Operating Officer have concluded that our disclosure controls and procedures as of December 31, 2025 were effective to ensure that information required to be disclosed by us in reports that we file or submit under the Exchange Act is recorded, processed, summarized and reported within the time periods specified in the SEC’s rules and 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Management’s Annual Report on Internal Control over Financial Reporting</w:t>
      </w:r>
    </w:p>
    <w:p>
      <w:pPr>
        <w:spacing w:after="0" w:line="187"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our Chief Financial Officer and Chief Operating Officer, we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 xml:space="preserve">Internal Control—Integrated Framework (2013) </w:t>
      </w:r>
      <w:r>
        <w:rPr>
          <w:rFonts w:ascii="Times New Roman" w:cs="Times New Roman" w:eastAsia="Times New Roman" w:hAnsi="Times New Roman"/>
          <w:sz w:val="17"/>
          <w:szCs w:val="17"/>
          <w:color w:val="auto"/>
        </w:rPr>
        <w:t>issued by the Committee of Sponsoring Organizations of the Treadway Commission (COSO). Because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the framework set forth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management concluded that our internal control over financial reporting was effective as of December 31, 2025.</w:t>
      </w:r>
    </w:p>
    <w:p>
      <w:pPr>
        <w:spacing w:after="0" w:line="201" w:lineRule="exact"/>
        <w:rPr>
          <w:sz w:val="20"/>
          <w:szCs w:val="20"/>
          <w:color w:val="auto"/>
        </w:rPr>
      </w:pPr>
    </w:p>
    <w:p>
      <w:pPr>
        <w:ind w:right="320" w:firstLine="433"/>
        <w:spacing w:after="0" w:line="297"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KPMG LLP, an independent registered public accounting firm, as stated in its report, which we include herein.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Report of Independent Registered Public Accounting Firm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Services,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14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AMN Healthcare Services, Inc. and subsidiaries’ (the Company)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(loss), stockholders’ equity, and cash flows for each of the years in the three-year period ended December 31, 2025, and the related notes (collectively, the consolidated financial statements), and our report dated February 19, 2026 expressed an unqualified opinion on those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0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0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4"/>
          <w:szCs w:val="24"/>
          <w:b w:val="1"/>
          <w:bCs w:val="1"/>
          <w:color w:val="auto"/>
        </w:rPr>
        <w:t>Item 9B.</w:t>
      </w:r>
      <w:r>
        <w:rPr>
          <w:sz w:val="20"/>
          <w:szCs w:val="20"/>
          <w:color w:val="auto"/>
        </w:rPr>
        <w:tab/>
      </w:r>
      <w:r>
        <w:rPr>
          <w:rFonts w:ascii="Times New Roman" w:cs="Times New Roman" w:eastAsia="Times New Roman" w:hAnsi="Times New Roman"/>
          <w:sz w:val="24"/>
          <w:szCs w:val="24"/>
          <w:b w:val="1"/>
          <w:bCs w:val="1"/>
          <w:i w:val="1"/>
          <w:iCs w:val="1"/>
          <w:color w:val="auto"/>
        </w:rPr>
        <w:t>Other Information</w:t>
      </w:r>
    </w:p>
    <w:p>
      <w:pPr>
        <w:spacing w:after="0" w:line="194" w:lineRule="exact"/>
        <w:rPr>
          <w:sz w:val="20"/>
          <w:szCs w:val="20"/>
          <w:color w:val="auto"/>
        </w:rPr>
      </w:pPr>
    </w:p>
    <w:p>
      <w:pPr>
        <w:ind w:right="140" w:firstLine="433"/>
        <w:spacing w:after="0" w:line="297" w:lineRule="auto"/>
        <w:rPr>
          <w:sz w:val="20"/>
          <w:szCs w:val="20"/>
          <w:color w:val="auto"/>
        </w:rPr>
      </w:pPr>
      <w:r>
        <w:rPr>
          <w:rFonts w:ascii="Times New Roman" w:cs="Times New Roman" w:eastAsia="Times New Roman" w:hAnsi="Times New Roman"/>
          <w:sz w:val="17"/>
          <w:szCs w:val="17"/>
          <w:color w:val="auto"/>
        </w:rPr>
        <w:t>During the three months ended December 31, 2025, none of the Company’s directors or officers adopted, modified or terminated a “Rule 10b5-1 trading arrangement” or a “non-Rule 10b5-1 trading arrangement” as such terms are defined under Item 408 of Regulation S-K.</w:t>
      </w:r>
    </w:p>
    <w:p>
      <w:pPr>
        <w:spacing w:after="0" w:line="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4"/>
          <w:szCs w:val="24"/>
          <w:b w:val="1"/>
          <w:bCs w:val="1"/>
          <w:color w:val="auto"/>
        </w:rPr>
        <w:t>Item 9C.</w:t>
      </w:r>
      <w:r>
        <w:rPr>
          <w:sz w:val="20"/>
          <w:szCs w:val="20"/>
          <w:color w:val="auto"/>
        </w:rPr>
        <w:tab/>
      </w:r>
      <w:r>
        <w:rPr>
          <w:rFonts w:ascii="Times New Roman" w:cs="Times New Roman" w:eastAsia="Times New Roman" w:hAnsi="Times New Roman"/>
          <w:sz w:val="24"/>
          <w:szCs w:val="24"/>
          <w:b w:val="1"/>
          <w:bCs w:val="1"/>
          <w:i w:val="1"/>
          <w:iCs w:val="1"/>
          <w:color w:val="auto"/>
        </w:rPr>
        <w:t>Disclosure Regarding Foreign Jurisdictions that Prevent Inspections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PART III</w:t>
      </w:r>
    </w:p>
    <w:p>
      <w:pPr>
        <w:spacing w:after="0" w:line="18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10.</w:t>
      </w:r>
      <w:r>
        <w:rPr>
          <w:sz w:val="20"/>
          <w:szCs w:val="20"/>
          <w:color w:val="auto"/>
        </w:rPr>
        <w:tab/>
      </w:r>
      <w:r>
        <w:rPr>
          <w:rFonts w:ascii="Times New Roman" w:cs="Times New Roman" w:eastAsia="Times New Roman" w:hAnsi="Times New Roman"/>
          <w:sz w:val="24"/>
          <w:szCs w:val="24"/>
          <w:b w:val="1"/>
          <w:bCs w:val="1"/>
          <w:i w:val="1"/>
          <w:iCs w:val="1"/>
          <w:color w:val="auto"/>
        </w:rPr>
        <w:t>Directors, Executive Officers and Corporate Governance</w:t>
      </w:r>
    </w:p>
    <w:p>
      <w:pPr>
        <w:spacing w:after="0" w:line="207"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Information required by this item, other than the information below concerning our Code of Ethics for Senior Financial Officers and stockholder recommended nominations, is incorporated by reference to the Proxy Statement to be distributed in connection with our Annual Meeting of Stockholders currently scheduled to be held on May 1, 2026 (the “2026 Annual Meeting Proxy Statement”) under the headings “Corporate Governance—Election of Our Directors—AMN Healthcare Board of Directors,” “Compensation Discussion and Analysis—Equity Ownership—Securities Trading Policy,” “Compensation Discussion and Analysis—Equity Ownership—Policies and Practices Related to the Granting of Equity Awards,” “Executive Compensation—Executive Compensation Disclosure,” “Security Ownership and Other Matters—Delinquent Section 16(a) Reports,” the table set forth in “Corporate Governance—Board and Committee Structure—Committees of the Board” identifying, among other things, members of our Board committees, and “Corporate Governance—Board and Committee Structure—Committees of the Board.”</w:t>
      </w:r>
    </w:p>
    <w:p>
      <w:pPr>
        <w:spacing w:after="0" w:line="122"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We have adopted a Code of Ethics for Senior Financial Officers that applies to our principal executive officer, principal financial officer, and principal accounting officer or any person performing similar functions, which we post on our website in the “Governance Documents” link located at ir.amnhealthcare.com. We intend to publish any amendment to, or waiver from, the Code of Ethics for Senior Financial Officers on our website. We will provide any person, without charge, a copy of such Code of Ethics upon written request, which may be mailed to 2999 Olympus Boulevard Suite 500, Dallas, Texas 75019, Attn: Corporate Secretary.</w:t>
      </w:r>
    </w:p>
    <w:p>
      <w:pPr>
        <w:spacing w:after="0" w:line="132" w:lineRule="exact"/>
        <w:rPr>
          <w:sz w:val="20"/>
          <w:szCs w:val="20"/>
          <w:color w:val="auto"/>
        </w:rPr>
      </w:pPr>
    </w:p>
    <w:p>
      <w:pPr>
        <w:ind w:right="860" w:firstLine="433"/>
        <w:spacing w:after="0" w:line="297" w:lineRule="auto"/>
        <w:rPr>
          <w:sz w:val="20"/>
          <w:szCs w:val="20"/>
          <w:color w:val="auto"/>
        </w:rPr>
      </w:pPr>
      <w:r>
        <w:rPr>
          <w:rFonts w:ascii="Times New Roman" w:cs="Times New Roman" w:eastAsia="Times New Roman" w:hAnsi="Times New Roman"/>
          <w:sz w:val="17"/>
          <w:szCs w:val="17"/>
          <w:color w:val="auto"/>
        </w:rPr>
        <w:t>There have been no material changes to the procedures by which stockholders may recommend nominees to our Board since we last disclosed information related to such procedures.</w:t>
      </w:r>
    </w:p>
    <w:p>
      <w:pPr>
        <w:spacing w:after="0" w:line="9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11.</w:t>
      </w:r>
      <w:r>
        <w:rPr>
          <w:sz w:val="20"/>
          <w:szCs w:val="20"/>
          <w:color w:val="auto"/>
        </w:rPr>
        <w:tab/>
      </w:r>
      <w:r>
        <w:rPr>
          <w:rFonts w:ascii="Times New Roman" w:cs="Times New Roman" w:eastAsia="Times New Roman" w:hAnsi="Times New Roman"/>
          <w:sz w:val="24"/>
          <w:szCs w:val="24"/>
          <w:b w:val="1"/>
          <w:bCs w:val="1"/>
          <w:i w:val="1"/>
          <w:iCs w:val="1"/>
          <w:color w:val="auto"/>
        </w:rPr>
        <w:t>Executive Compensation</w:t>
      </w:r>
    </w:p>
    <w:p>
      <w:pPr>
        <w:spacing w:after="0" w:line="194"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to the 2026 Annual Meeting Proxy Statement under the headings “Executive Compensation —Compensation Discussion and Analysis,” “Compensation Discussion and Analysis—Equity Ownership—Policies and Practices Related to the Granting of Equity Awards,” “Executive Compensation—Executive Compensation Disclosure,” “Corporate Governance—Director Compensation and Ownership Guidelines,” “Corporate Governance—Our Corporate Governance Program—Enterprise Risk Oversight,” “Corporate Governance—Board and Committee Structure—Compensation Committee Interlocks and Insider Participation,” and “Executive Compensation—Compensation Committee Report.”</w:t>
      </w:r>
    </w:p>
    <w:p>
      <w:pPr>
        <w:spacing w:after="0" w:line="121" w:lineRule="exact"/>
        <w:rPr>
          <w:sz w:val="20"/>
          <w:szCs w:val="20"/>
          <w:color w:val="auto"/>
        </w:rPr>
      </w:pPr>
    </w:p>
    <w:p>
      <w:pPr>
        <w:ind w:left="1100" w:right="760" w:hanging="1258"/>
        <w:spacing w:after="0" w:line="294" w:lineRule="auto"/>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12.</w:t>
      </w:r>
      <w:r>
        <w:rPr>
          <w:sz w:val="20"/>
          <w:szCs w:val="20"/>
          <w:color w:val="auto"/>
        </w:rPr>
        <w:tab/>
      </w:r>
      <w:r>
        <w:rPr>
          <w:rFonts w:ascii="Times New Roman" w:cs="Times New Roman" w:eastAsia="Times New Roman" w:hAnsi="Times New Roman"/>
          <w:sz w:val="24"/>
          <w:szCs w:val="24"/>
          <w:b w:val="1"/>
          <w:bCs w:val="1"/>
          <w:i w:val="1"/>
          <w:iCs w:val="1"/>
          <w:color w:val="auto"/>
        </w:rPr>
        <w:t>Security Ownership of Certain Beneficial Owners and Management and Related Stockholder Matters</w:t>
      </w:r>
    </w:p>
    <w:p>
      <w:pPr>
        <w:spacing w:after="0" w:line="95"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Information required by this item, other than the information below concerning our equity compensation plans, is incorporated by reference to the 2026 Annual Meeting Proxy Statement under the headings “Security Ownership and Other Matters—Security Ownership of Certain Beneficial Owners and Management.”</w:t>
      </w:r>
    </w:p>
    <w:p>
      <w:pPr>
        <w:spacing w:after="0" w:line="189" w:lineRule="exact"/>
        <w:rPr>
          <w:sz w:val="20"/>
          <w:szCs w:val="20"/>
          <w:color w:val="auto"/>
        </w:rPr>
      </w:pPr>
    </w:p>
    <w:p>
      <w:pPr>
        <w:ind w:right="30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2025 regarding compensation plans under which our equity securities are authorized for issuance.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162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540" w:type="dxa"/>
            <w:vAlign w:val="bottom"/>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rPr>
              <w:t>(b)</w:t>
            </w:r>
          </w:p>
        </w:tc>
      </w:tr>
      <w:tr>
        <w:trPr>
          <w:trHeight w:val="292"/>
        </w:trPr>
        <w:tc>
          <w:tcPr>
            <w:tcW w:w="162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Number of Securities</w:t>
            </w:r>
          </w:p>
        </w:tc>
        <w:tc>
          <w:tcPr>
            <w:tcW w:w="1540" w:type="dxa"/>
            <w:vAlign w:val="bottom"/>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rPr>
              <w:t>Weighted-Average Exercise</w:t>
            </w:r>
          </w:p>
        </w:tc>
      </w:tr>
      <w:tr>
        <w:trPr>
          <w:trHeight w:val="124"/>
        </w:trPr>
        <w:tc>
          <w:tcPr>
            <w:tcW w:w="1620" w:type="dxa"/>
            <w:vAlign w:val="bottom"/>
          </w:tcPr>
          <w:p>
            <w:pPr>
              <w:jc w:val="center"/>
              <w:ind w:right="39"/>
              <w:spacing w:after="0" w:line="124" w:lineRule="exact"/>
              <w:rPr>
                <w:sz w:val="20"/>
                <w:szCs w:val="20"/>
                <w:color w:val="auto"/>
              </w:rPr>
            </w:pPr>
            <w:r>
              <w:rPr>
                <w:rFonts w:ascii="Times New Roman" w:cs="Times New Roman" w:eastAsia="Times New Roman" w:hAnsi="Times New Roman"/>
                <w:sz w:val="12"/>
                <w:szCs w:val="12"/>
                <w:b w:val="1"/>
                <w:bCs w:val="1"/>
                <w:color w:val="auto"/>
              </w:rPr>
              <w:t>to be Issued upon Exercise of</w:t>
            </w:r>
          </w:p>
        </w:tc>
        <w:tc>
          <w:tcPr>
            <w:tcW w:w="1540" w:type="dxa"/>
            <w:vAlign w:val="bottom"/>
          </w:tcPr>
          <w:p>
            <w:pPr>
              <w:jc w:val="center"/>
              <w:ind w:left="39"/>
              <w:spacing w:after="0" w:line="124" w:lineRule="exact"/>
              <w:rPr>
                <w:sz w:val="20"/>
                <w:szCs w:val="20"/>
                <w:color w:val="auto"/>
              </w:rPr>
            </w:pPr>
            <w:r>
              <w:rPr>
                <w:rFonts w:ascii="Times New Roman" w:cs="Times New Roman" w:eastAsia="Times New Roman" w:hAnsi="Times New Roman"/>
                <w:sz w:val="12"/>
                <w:szCs w:val="12"/>
                <w:b w:val="1"/>
                <w:bCs w:val="1"/>
                <w:color w:val="auto"/>
              </w:rPr>
              <w:t>Price of Outstanding</w:t>
            </w:r>
          </w:p>
        </w:tc>
      </w:tr>
      <w:tr>
        <w:trPr>
          <w:trHeight w:val="125"/>
        </w:trPr>
        <w:tc>
          <w:tcPr>
            <w:tcW w:w="1620" w:type="dxa"/>
            <w:vAlign w:val="bottom"/>
          </w:tcPr>
          <w:p>
            <w:pPr>
              <w:jc w:val="center"/>
              <w:ind w:right="39"/>
              <w:spacing w:after="0" w:line="125" w:lineRule="exact"/>
              <w:rPr>
                <w:sz w:val="20"/>
                <w:szCs w:val="20"/>
                <w:color w:val="auto"/>
              </w:rPr>
            </w:pPr>
            <w:r>
              <w:rPr>
                <w:rFonts w:ascii="Times New Roman" w:cs="Times New Roman" w:eastAsia="Times New Roman" w:hAnsi="Times New Roman"/>
                <w:sz w:val="12"/>
                <w:szCs w:val="12"/>
                <w:b w:val="1"/>
                <w:bCs w:val="1"/>
                <w:color w:val="auto"/>
              </w:rPr>
              <w:t>Outstanding Options,</w:t>
            </w:r>
          </w:p>
        </w:tc>
        <w:tc>
          <w:tcPr>
            <w:tcW w:w="1540" w:type="dxa"/>
            <w:vAlign w:val="bottom"/>
          </w:tcPr>
          <w:p>
            <w:pPr>
              <w:jc w:val="center"/>
              <w:ind w:left="39"/>
              <w:spacing w:after="0" w:line="125" w:lineRule="exact"/>
              <w:rPr>
                <w:sz w:val="20"/>
                <w:szCs w:val="20"/>
                <w:color w:val="auto"/>
              </w:rPr>
            </w:pPr>
            <w:r>
              <w:rPr>
                <w:rFonts w:ascii="Times New Roman" w:cs="Times New Roman" w:eastAsia="Times New Roman" w:hAnsi="Times New Roman"/>
                <w:sz w:val="12"/>
                <w:szCs w:val="12"/>
                <w:b w:val="1"/>
                <w:bCs w:val="1"/>
                <w:color w:val="auto"/>
              </w:rPr>
              <w:t>Options, Warrants, and</w:t>
            </w:r>
          </w:p>
        </w:tc>
      </w:tr>
      <w:tr>
        <w:trPr>
          <w:trHeight w:val="211"/>
        </w:trPr>
        <w:tc>
          <w:tcPr>
            <w:tcW w:w="162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Warrants and Rights</w:t>
            </w:r>
            <w:r>
              <w:rPr>
                <w:rFonts w:ascii="Times New Roman" w:cs="Times New Roman" w:eastAsia="Times New Roman" w:hAnsi="Times New Roman"/>
                <w:sz w:val="15"/>
                <w:szCs w:val="15"/>
                <w:b w:val="1"/>
                <w:bCs w:val="1"/>
                <w:color w:val="auto"/>
                <w:w w:val="99"/>
                <w:vertAlign w:val="superscript"/>
              </w:rPr>
              <w:t>(1)</w:t>
            </w:r>
          </w:p>
        </w:tc>
        <w:tc>
          <w:tcPr>
            <w:tcW w:w="1540" w:type="dxa"/>
            <w:vAlign w:val="bottom"/>
          </w:tcPr>
          <w:p>
            <w:pPr>
              <w:jc w:val="center"/>
              <w:ind w:left="39"/>
              <w:spacing w:after="0"/>
              <w:rPr>
                <w:sz w:val="20"/>
                <w:szCs w:val="20"/>
                <w:color w:val="auto"/>
              </w:rPr>
            </w:pPr>
            <w:r>
              <w:rPr>
                <w:rFonts w:ascii="Times New Roman" w:cs="Times New Roman" w:eastAsia="Times New Roman" w:hAnsi="Times New Roman"/>
                <w:sz w:val="12"/>
                <w:szCs w:val="12"/>
                <w:b w:val="1"/>
                <w:bCs w:val="1"/>
                <w:color w:val="auto"/>
                <w:w w:val="96"/>
              </w:rPr>
              <w:t>Rights ($)</w:t>
            </w:r>
            <w:r>
              <w:rPr>
                <w:rFonts w:ascii="Times New Roman" w:cs="Times New Roman" w:eastAsia="Times New Roman" w:hAnsi="Times New Roman"/>
                <w:sz w:val="15"/>
                <w:szCs w:val="15"/>
                <w:b w:val="1"/>
                <w:bCs w:val="1"/>
                <w:color w:val="auto"/>
                <w:w w:val="96"/>
                <w:vertAlign w:val="superscript"/>
              </w:rPr>
              <w:t>(2)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w:t>
      </w:r>
    </w:p>
    <w:p>
      <w:pPr>
        <w:spacing w:after="0" w:line="32" w:lineRule="exact"/>
        <w:rPr>
          <w:sz w:val="20"/>
          <w:szCs w:val="20"/>
          <w:color w:val="auto"/>
        </w:rPr>
      </w:pPr>
    </w:p>
    <w:p>
      <w:pPr>
        <w:jc w:val="center"/>
        <w:ind w:right="60"/>
        <w:spacing w:after="0" w:line="230" w:lineRule="auto"/>
        <w:rPr>
          <w:sz w:val="20"/>
          <w:szCs w:val="20"/>
          <w:color w:val="auto"/>
        </w:rPr>
      </w:pPr>
      <w:r>
        <w:rPr>
          <w:rFonts w:ascii="Times New Roman" w:cs="Times New Roman" w:eastAsia="Times New Roman" w:hAnsi="Times New Roman"/>
          <w:sz w:val="12"/>
          <w:szCs w:val="12"/>
          <w:b w:val="1"/>
          <w:bCs w:val="1"/>
          <w:color w:val="auto"/>
        </w:rPr>
        <w:t>Numbers of Securities Remaining Available for Future Issuance Under Equity Compensation</w:t>
      </w:r>
    </w:p>
    <w:p>
      <w:pPr>
        <w:jc w:val="center"/>
        <w:ind w:right="60"/>
        <w:spacing w:after="0" w:line="204" w:lineRule="auto"/>
        <w:rPr>
          <w:sz w:val="20"/>
          <w:szCs w:val="20"/>
          <w:color w:val="auto"/>
        </w:rPr>
      </w:pPr>
      <w:r>
        <w:rPr>
          <w:rFonts w:ascii="Times New Roman" w:cs="Times New Roman" w:eastAsia="Times New Roman" w:hAnsi="Times New Roman"/>
          <w:sz w:val="12"/>
          <w:szCs w:val="12"/>
          <w:b w:val="1"/>
          <w:bCs w:val="1"/>
          <w:color w:val="auto"/>
        </w:rPr>
        <w:t>Plans (Excluding Securities Reflected in</w:t>
      </w: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Column(a))</w:t>
      </w:r>
      <w:r>
        <w:rPr>
          <w:rFonts w:ascii="Times New Roman" w:cs="Times New Roman" w:eastAsia="Times New Roman" w:hAnsi="Times New Roman"/>
          <w:sz w:val="15"/>
          <w:szCs w:val="15"/>
          <w:b w:val="1"/>
          <w:bCs w:val="1"/>
          <w:color w:val="auto"/>
          <w:vertAlign w:val="superscript"/>
        </w:rPr>
        <w:t>(3)</w:t>
      </w:r>
    </w:p>
    <w:p>
      <w:pPr>
        <w:spacing w:after="0" w:line="206" w:lineRule="exact"/>
        <w:rPr>
          <w:sz w:val="20"/>
          <w:szCs w:val="20"/>
          <w:color w:val="auto"/>
        </w:rPr>
      </w:pPr>
    </w:p>
    <w:p>
      <w:pPr>
        <w:sectPr>
          <w:pgSz w:w="11900" w:h="16838" w:orient="portrait"/>
          <w:cols w:equalWidth="0" w:num="2">
            <w:col w:w="8540" w:space="180"/>
            <w:col w:w="252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5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r>
      <w:tr>
        <w:trPr>
          <w:trHeight w:val="223"/>
        </w:trPr>
        <w:tc>
          <w:tcPr>
            <w:tcW w:w="526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(4)</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1,888,085</w:t>
            </w:r>
          </w:p>
        </w:tc>
        <w:tc>
          <w:tcPr>
            <w:tcW w:w="100" w:type="dxa"/>
            <w:vAlign w:val="bottom"/>
          </w:tcPr>
          <w:p>
            <w:pPr>
              <w:spacing w:after="0"/>
              <w:rPr>
                <w:sz w:val="19"/>
                <w:szCs w:val="19"/>
                <w:color w:val="auto"/>
              </w:rPr>
            </w:pP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2,695,801</w:t>
            </w:r>
          </w:p>
        </w:tc>
      </w:tr>
      <w:tr>
        <w:trPr>
          <w:trHeight w:val="297"/>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2"/>
                <w:szCs w:val="22"/>
                <w:color w:val="auto"/>
                <w:vertAlign w:val="superscript"/>
              </w:rPr>
              <w:t>(5)</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1,888,085</w:t>
            </w: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2,695,801</w:t>
            </w:r>
          </w:p>
        </w:tc>
      </w:tr>
      <w:tr>
        <w:trPr>
          <w:trHeight w:val="20"/>
        </w:trPr>
        <w:tc>
          <w:tcPr>
            <w:tcW w:w="5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left="320" w:right="60" w:hanging="236"/>
        <w:spacing w:after="0" w:line="273" w:lineRule="auto"/>
        <w:tabs>
          <w:tab w:leader="none" w:pos="33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unvested RSUs and PRSUs and (ii) vested RSUs and PRSUs deferred for future issuance. Excludes purchase rights under the AMN Healthcare Services, Inc. Employee Stock Purchase Plan (the “ESPP”). As of December 31, 2025, there were no stock options or SARs outstanding.</w:t>
      </w:r>
    </w:p>
    <w:p>
      <w:pPr>
        <w:spacing w:after="0" w:line="1" w:lineRule="exact"/>
        <w:rPr>
          <w:rFonts w:ascii="Times New Roman" w:cs="Times New Roman" w:eastAsia="Times New Roman" w:hAnsi="Times New Roman"/>
          <w:sz w:val="17"/>
          <w:szCs w:val="17"/>
          <w:color w:val="auto"/>
        </w:rPr>
      </w:pPr>
    </w:p>
    <w:p>
      <w:pPr>
        <w:ind w:left="340" w:hanging="256"/>
        <w:spacing w:after="0"/>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exercise price set forth in this table excludes the effect of RSUs and PRSUs, which have no exercise price.</w:t>
      </w:r>
    </w:p>
    <w:p>
      <w:pPr>
        <w:spacing w:after="0" w:line="32" w:lineRule="exact"/>
        <w:rPr>
          <w:rFonts w:ascii="Times New Roman" w:cs="Times New Roman" w:eastAsia="Times New Roman" w:hAnsi="Times New Roman"/>
          <w:sz w:val="17"/>
          <w:szCs w:val="17"/>
          <w:color w:val="auto"/>
        </w:rPr>
      </w:pPr>
    </w:p>
    <w:p>
      <w:pPr>
        <w:ind w:left="340" w:hanging="256"/>
        <w:spacing w:after="0"/>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following:</w:t>
      </w:r>
    </w:p>
    <w:p>
      <w:pPr>
        <w:spacing w:after="0" w:line="14" w:lineRule="exact"/>
        <w:rPr>
          <w:rFonts w:ascii="Times New Roman" w:cs="Times New Roman" w:eastAsia="Times New Roman" w:hAnsi="Times New Roman"/>
          <w:sz w:val="17"/>
          <w:szCs w:val="17"/>
          <w:color w:val="auto"/>
        </w:rPr>
      </w:pPr>
    </w:p>
    <w:p>
      <w:pPr>
        <w:ind w:left="320" w:right="140"/>
        <w:spacing w:after="0" w:line="257" w:lineRule="auto"/>
        <w:tabs>
          <w:tab w:leader="none" w:pos="529"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available under the AMN Healthcare Equity Plan (as amended or amended and restated from time to time, the “Equity Plan”). Each share tendered or held back upon settlement of an award to cover the tax withholding with respect to an award is made available to be re-awarded. For PRSUs, we consider the maximum number of shares that may be issued under the award to be outstanding upon grant. When the number of PRSUs that have been earned are determined, we true-up the actual number of shares that were awarded and return the unearned shares into shares available for issuance. This figure does not include awards that are forfeited, canceled or terminated after December 31, 2025.</w:t>
      </w:r>
    </w:p>
    <w:p>
      <w:pPr>
        <w:spacing w:after="0" w:line="2" w:lineRule="exact"/>
        <w:rPr>
          <w:rFonts w:ascii="Times New Roman" w:cs="Times New Roman" w:eastAsia="Times New Roman" w:hAnsi="Times New Roman"/>
          <w:sz w:val="17"/>
          <w:szCs w:val="17"/>
          <w:color w:val="auto"/>
        </w:rPr>
      </w:pPr>
    </w:p>
    <w:p>
      <w:pPr>
        <w:ind w:left="580" w:hanging="260"/>
        <w:spacing w:after="0"/>
        <w:tabs>
          <w:tab w:leader="none" w:pos="5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remaining available for future issuance under the ESPP.</w:t>
      </w:r>
    </w:p>
    <w:p>
      <w:pPr>
        <w:spacing w:after="0" w:line="14" w:lineRule="exact"/>
        <w:rPr>
          <w:rFonts w:ascii="Times New Roman" w:cs="Times New Roman" w:eastAsia="Times New Roman" w:hAnsi="Times New Roman"/>
          <w:sz w:val="17"/>
          <w:szCs w:val="17"/>
          <w:color w:val="auto"/>
        </w:rPr>
      </w:pPr>
    </w:p>
    <w:p>
      <w:pPr>
        <w:ind w:left="320" w:right="280" w:hanging="236"/>
        <w:spacing w:after="0" w:line="257" w:lineRule="auto"/>
        <w:tabs>
          <w:tab w:leader="none" w:pos="33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Equity Plan and the ESPP.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(12)</w:t>
      </w:r>
      <w:r>
        <w:rPr>
          <w:rFonts w:ascii="Times New Roman" w:cs="Times New Roman" w:eastAsia="Times New Roman" w:hAnsi="Times New Roman"/>
          <w:sz w:val="17"/>
          <w:szCs w:val="17"/>
          <w:color w:val="auto"/>
        </w:rPr>
        <w:t>, Share-Based Compensation.”</w:t>
      </w:r>
    </w:p>
    <w:p>
      <w:pPr>
        <w:ind w:left="320" w:right="280" w:hanging="236"/>
        <w:spacing w:after="0" w:line="263" w:lineRule="auto"/>
        <w:tabs>
          <w:tab w:leader="none" w:pos="33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occasion, we have made employee award inducement equity grants to key employees outside of the Equity Plan. Although these awards were made outside of the Equity Plan, the key terms and conditions of each grant are the same in all material respects as equity awards made under the Equity Plan. See additional information in “Item 8. Financial Statements and Supplementary Data—Notes to Consolidated Financial Statements—</w:t>
      </w:r>
      <w:r>
        <w:rPr>
          <w:rFonts w:ascii="Times New Roman" w:cs="Times New Roman" w:eastAsia="Times New Roman" w:hAnsi="Times New Roman"/>
          <w:sz w:val="17"/>
          <w:szCs w:val="17"/>
          <w:u w:val="single" w:color="auto"/>
          <w:color w:val="0000FF"/>
        </w:rPr>
        <w:t>Note (12)</w:t>
      </w:r>
      <w:r>
        <w:rPr>
          <w:rFonts w:ascii="Times New Roman" w:cs="Times New Roman" w:eastAsia="Times New Roman" w:hAnsi="Times New Roman"/>
          <w:sz w:val="17"/>
          <w:szCs w:val="17"/>
          <w:color w:val="auto"/>
        </w:rPr>
        <w:t>, Share-Based Compensation.”</w:t>
      </w:r>
    </w:p>
    <w:p>
      <w:pPr>
        <w:spacing w:after="0" w:line="19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13.</w:t>
      </w:r>
      <w:r>
        <w:rPr>
          <w:sz w:val="20"/>
          <w:szCs w:val="20"/>
          <w:color w:val="auto"/>
        </w:rPr>
        <w:tab/>
      </w:r>
      <w:r>
        <w:rPr>
          <w:rFonts w:ascii="Times New Roman" w:cs="Times New Roman" w:eastAsia="Times New Roman" w:hAnsi="Times New Roman"/>
          <w:sz w:val="24"/>
          <w:szCs w:val="24"/>
          <w:b w:val="1"/>
          <w:bCs w:val="1"/>
          <w:i w:val="1"/>
          <w:iCs w:val="1"/>
          <w:color w:val="auto"/>
        </w:rPr>
        <w:t>Certain Relationships and Related Transactions, and Director Independence</w:t>
      </w:r>
    </w:p>
    <w:p>
      <w:pPr>
        <w:spacing w:after="0" w:line="194"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to the 2026 Annual Meeting Proxy Statement under the headings “Corporate Governance— Policies and Procedures Governing Conflicts of Interest and Related Party Transactions,” “Corporate Governance—Director Nomination Process—Director Independence,” and “Corporate Governance—Board and Committee Structure—Committees of the Board.”</w:t>
      </w:r>
    </w:p>
    <w:p>
      <w:pPr>
        <w:spacing w:after="0" w:line="11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14.</w:t>
      </w:r>
      <w:r>
        <w:rPr>
          <w:sz w:val="20"/>
          <w:szCs w:val="20"/>
          <w:color w:val="auto"/>
        </w:rPr>
        <w:tab/>
      </w:r>
      <w:r>
        <w:rPr>
          <w:rFonts w:ascii="Times New Roman" w:cs="Times New Roman" w:eastAsia="Times New Roman" w:hAnsi="Times New Roman"/>
          <w:sz w:val="24"/>
          <w:szCs w:val="24"/>
          <w:b w:val="1"/>
          <w:bCs w:val="1"/>
          <w:i w:val="1"/>
          <w:iCs w:val="1"/>
          <w:color w:val="auto"/>
        </w:rPr>
        <w:t>Principal Accounting Fees and Services</w:t>
      </w:r>
    </w:p>
    <w:p>
      <w:pPr>
        <w:spacing w:after="0" w:line="194" w:lineRule="exact"/>
        <w:rPr>
          <w:sz w:val="20"/>
          <w:szCs w:val="20"/>
          <w:color w:val="auto"/>
        </w:rPr>
      </w:pPr>
    </w:p>
    <w:p>
      <w:pPr>
        <w:ind w:right="40" w:firstLine="433"/>
        <w:spacing w:after="0" w:line="297"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to the 2026 Annual Meeting Proxy Statement under the heading “Audit Committee Matters —Ratification of the Appointment of Our Independent Registered Public Accounting Firm.”</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8"/>
          <w:szCs w:val="28"/>
          <w:b w:val="1"/>
          <w:bCs w:val="1"/>
          <w:color w:val="auto"/>
        </w:rPr>
        <w:t>PART IV</w:t>
      </w:r>
    </w:p>
    <w:p>
      <w:pPr>
        <w:spacing w:after="0" w:line="18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15.</w:t>
      </w:r>
      <w:r>
        <w:rPr>
          <w:sz w:val="20"/>
          <w:szCs w:val="20"/>
          <w:color w:val="auto"/>
        </w:rPr>
        <w:tab/>
      </w:r>
      <w:r>
        <w:rPr>
          <w:rFonts w:ascii="Times New Roman" w:cs="Times New Roman" w:eastAsia="Times New Roman" w:hAnsi="Times New Roman"/>
          <w:sz w:val="24"/>
          <w:szCs w:val="24"/>
          <w:b w:val="1"/>
          <w:bCs w:val="1"/>
          <w:i w:val="1"/>
          <w:iCs w:val="1"/>
          <w:color w:val="auto"/>
        </w:rPr>
        <w:t>Exhibits and Financial Statement Schedules</w:t>
      </w:r>
    </w:p>
    <w:p>
      <w:pPr>
        <w:spacing w:after="0" w:line="207" w:lineRule="exact"/>
        <w:rPr>
          <w:sz w:val="20"/>
          <w:szCs w:val="20"/>
          <w:color w:val="auto"/>
        </w:rPr>
      </w:pPr>
    </w:p>
    <w:p>
      <w:pPr>
        <w:ind w:left="680" w:hanging="242"/>
        <w:spacing w:after="0"/>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filed as part of the report.</w:t>
      </w:r>
    </w:p>
    <w:p>
      <w:pPr>
        <w:spacing w:after="0" w:line="171" w:lineRule="exact"/>
        <w:rPr>
          <w:rFonts w:ascii="Times New Roman" w:cs="Times New Roman" w:eastAsia="Times New Roman" w:hAnsi="Times New Roman"/>
          <w:sz w:val="17"/>
          <w:szCs w:val="17"/>
          <w:color w:val="auto"/>
        </w:rPr>
      </w:pPr>
    </w:p>
    <w:p>
      <w:pPr>
        <w:ind w:left="1120" w:hanging="250"/>
        <w:spacing w:after="0"/>
        <w:tabs>
          <w:tab w:leader="none" w:pos="11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Financial Statements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Consolidated Balance Sheets as of December 31, 2025 and 2024</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2025, 2024 and 2023</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Consolidated Statements of Stockholders’ Equity for the years ended December 31, 2025, 2024 and 2023</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2025, 2024 and 2023</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50"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All schedules have been omitted because the required information is presented in the financial statements or notes thereto, the amounts involved are not significant or the schedules are not applicable.</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(3) Exhibits</w:t>
      </w: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40" w:type="dxa"/>
            <w:vAlign w:val="bottom"/>
            <w:gridSpan w:val="3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40" w:type="dxa"/>
            <w:vAlign w:val="bottom"/>
            <w:gridSpan w:val="3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Second Amended and Restated Certificate of Incorporation of AMN Healthcare Services, Inc. (Incorporated by reference to Exhibit 3.1 of the</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60" w:type="dxa"/>
            <w:vAlign w:val="bottom"/>
            <w:tcBorders>
              <w:top w:val="single" w:sz="8" w:color="0000FF"/>
            </w:tcBorders>
            <w:gridSpan w:val="35"/>
          </w:tcPr>
          <w:p>
            <w:pPr>
              <w:spacing w:after="0" w:line="150"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Registrant’s Quarterly Report on Form 10-Q for the quarter ended March 31, 2024, filed with the SEC on May 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3.2</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Amended and Restated By-laws of AMN Healthcare Services, Inc. dated December 11, 2025 (Incorporated by reference to Exhibit 3.1 of the</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Registrant’s Current Report on Form 8-K dated December 11, 2025, filed with the SEC on December 11, 2025).</w:t>
              </w:r>
            </w:hyperlink>
          </w:p>
        </w:tc>
        <w:tc>
          <w:tcPr>
            <w:tcW w:w="20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3.3</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Certificate of Designations of Series A Conditional Convertible Preferred Stock (Incorporated by reference to Exhibit 3.1 of the Registrant’s</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Current Report on Form 8-K dated August 29, 2010, filed with the SEC on September 1, 2010).</w:t>
              </w:r>
            </w:hyperlink>
          </w:p>
        </w:tc>
        <w:tc>
          <w:tcPr>
            <w:tcW w:w="31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4.1</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Specimen Stock Certificate (Incorporated by reference to Exhibit 4.1 of the Registrant’s Annual Report on Form 10-K for the fiscal year ended</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December 31, 2001, filed with the SEC on March 18, 2002).</w:t>
              </w:r>
            </w:hyperlink>
          </w:p>
        </w:tc>
        <w:tc>
          <w:tcPr>
            <w:tcW w:w="578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4.2</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Indenture, dated as of October 20, 2020, by and among AMN Healthcare, Inc., the guarantors party thereto, and U.S. Bank National</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68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gridSpan w:val="41"/>
          </w:tcPr>
          <w:p>
            <w:pPr>
              <w:spacing w:after="0" w:line="150"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Association (Incorporated by reference to Exhibit 4.1 of the Registrant’s Quarterly Report on Form 10-Q for the quarter ended September 30,</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20" w:type="dxa"/>
            <w:vAlign w:val="bottom"/>
            <w:tcBorders>
              <w:top w:val="single" w:sz="8" w:color="0000FF"/>
            </w:tcBorders>
            <w:gridSpan w:val="33"/>
          </w:tcPr>
          <w:p>
            <w:pPr>
              <w:spacing w:after="0" w:line="163"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2020, filed with the SEC on November 6, 2020).</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4.3</w:t>
            </w:r>
          </w:p>
        </w:tc>
        <w:tc>
          <w:tcPr>
            <w:tcW w:w="966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Indenture, dated as of October 6, 2025, by and among AMN Healthcare, Inc., the guarantors party thereto, and U.S. Bank Trust Company,</w:t>
              </w:r>
            </w:hyperlink>
          </w:p>
        </w:tc>
        <w:tc>
          <w:tcPr>
            <w:tcW w:w="48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gridSpan w:val="41"/>
          </w:tcPr>
          <w:p>
            <w:pPr>
              <w:spacing w:after="0" w:line="150"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National Association. (Incorporated by reference to Exhibit 4.1 of the Registrant’s Current Report on Form 8-K filed with the SEC on October</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top w:val="single" w:sz="8" w:color="0000FF"/>
              <w:bottom w:val="single" w:sz="8" w:color="0000FF"/>
            </w:tcBorders>
            <w:gridSpan w:val="3"/>
          </w:tcPr>
          <w:p>
            <w:pPr>
              <w:spacing w:after="0" w:line="163"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6, 2025).</w:t>
              </w:r>
            </w:hyperlink>
          </w:p>
        </w:tc>
        <w:tc>
          <w:tcPr>
            <w:tcW w:w="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4.4</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Description of Securities (Incorporated by reference to Exhibit 4.5 of the Registrant’s Annual Report on Form 10-K for the year ended</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December 31, 2022, filed with the SEC on February 22, 2023).</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3"/>
            <w:shd w:val="clear" w:color="auto" w:fill="0000FF"/>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10.1</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Credit Agreement, dated as of February 9, 2018, by and among AMN Healthcare, Inc., as borrower, the guarantors party thereto, the lenders</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identified on the signature pages thereto, as lenders, and SunTrust Bank, as administrative agent (Incorporated by reference to Exhibit 4.1 to</w:t>
              </w:r>
            </w:hyperlink>
          </w:p>
        </w:tc>
        <w:tc>
          <w:tcPr>
            <w:tcW w:w="40" w:type="dxa"/>
            <w:vAlign w:val="bottom"/>
            <w:gridSpan w:val="2"/>
          </w:tcPr>
          <w:p>
            <w:pPr>
              <w:spacing w:after="0"/>
              <w:rPr>
                <w:sz w:val="13"/>
                <w:szCs w:val="13"/>
                <w:color w:val="auto"/>
              </w:rPr>
            </w:pPr>
          </w:p>
        </w:tc>
        <w:tc>
          <w:tcPr>
            <w:tcW w:w="280" w:type="dxa"/>
            <w:vAlign w:val="bottom"/>
            <w:gridSpan w:val="11"/>
          </w:tcPr>
          <w:p>
            <w:pPr>
              <w:spacing w:after="0" w:line="150"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60" w:type="dxa"/>
            <w:vAlign w:val="bottom"/>
            <w:tcBorders>
              <w:top w:val="single" w:sz="8" w:color="0000FF"/>
            </w:tcBorders>
            <w:gridSpan w:val="40"/>
          </w:tcPr>
          <w:p>
            <w:pPr>
              <w:spacing w:after="0" w:line="16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Registrant’s Quarterly Report on Form 10-Q for the quarter ended March 31, 2018, filed with the SEC on May 4, 2018).</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700" w:type="dxa"/>
            <w:vAlign w:val="bottom"/>
            <w:tcBorders>
              <w:left w:val="single" w:sz="8" w:color="0000FF"/>
            </w:tcBorders>
            <w:gridSpan w:val="7"/>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10.2</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First Amendment to Credit Agreement, dated as of June 14, 2019, by and among AMN Healthcare, Inc., as borrower, the guarantors party</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700" w:type="dxa"/>
            <w:vAlign w:val="bottom"/>
            <w:tcBorders>
              <w:left w:val="single" w:sz="8" w:color="0000FF"/>
            </w:tcBorders>
            <w:gridSpan w:val="7"/>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gridSpan w:val="41"/>
          </w:tcPr>
          <w:p>
            <w:pPr>
              <w:spacing w:after="0" w:line="150"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thereto, the lenders identified on the signature pages thereto, as lenders, and SunTrust Bank, as administrative agent (Incorporated by reference</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34"/>
          </w:tcPr>
          <w:p>
            <w:pPr>
              <w:spacing w:after="0" w:line="163"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to Exhibit 4.1 to the Registrant’s Quarterly Report on Form 10-Q for the quarter ended June 30, 2019, filed with the SEC on August 7, 2019).</w:t>
              </w:r>
            </w:hyperlink>
          </w:p>
        </w:tc>
        <w:tc>
          <w:tcPr>
            <w:tcW w:w="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10.3</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Second Amendment to Credit Agreement, dated as of February 14, 2020, by and among AMN Healthcare, Inc., as borrower, the guarantors</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6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party thereto, the lenders identified on the signature pages thereto, as lenders, and SunTrust Bank, as administrative agent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700" w:type="dxa"/>
            <w:vAlign w:val="bottom"/>
            <w:tcBorders>
              <w:left w:val="single" w:sz="8" w:color="0000FF"/>
            </w:tcBorders>
            <w:gridSpan w:val="7"/>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140" w:type="dxa"/>
            <w:vAlign w:val="bottom"/>
            <w:gridSpan w:val="41"/>
          </w:tcPr>
          <w:p>
            <w:pPr>
              <w:spacing w:after="0" w:line="163"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reference to Exhibit 4.1 to the Registrant’s Quarterly Report on Form 10-Q for the quarter ended March 31, 2020, filed with the SEC on May</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w w:val="97"/>
              </w:rPr>
            </w:pPr>
            <w:hyperlink r:id="rId114">
              <w:r>
                <w:rPr>
                  <w:rFonts w:ascii="Times New Roman" w:cs="Times New Roman" w:eastAsia="Times New Roman" w:hAnsi="Times New Roman"/>
                  <w:sz w:val="17"/>
                  <w:szCs w:val="17"/>
                  <w:color w:val="0000FF"/>
                  <w:w w:val="97"/>
                </w:rPr>
                <w:t>11, 2020).</w:t>
              </w:r>
            </w:hyperlink>
          </w:p>
        </w:tc>
        <w:tc>
          <w:tcPr>
            <w:tcW w:w="68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Third Amendment to Credit Agreement, dated as of February 10th, 2023, by and among AMN Healthcare, Inc., as borrower, the guarantors</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8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party thereto, the lenders identified on the signature pages thereto, as lenders, and Truist Bank, as administrative agent (Incorporated by</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80" w:type="dxa"/>
            <w:vAlign w:val="bottom"/>
            <w:tcBorders>
              <w:top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reference to Exhibit 4.1 to the Registrant’s Quarterly Report on Form 10-Q for the quarter ended March 31, 2023, filed with the SEC 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0"/>
          </w:tcPr>
          <w:p>
            <w:pPr>
              <w:spacing w:after="0" w:line="163"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May 5,</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w w:val="95"/>
              </w:rPr>
            </w:pPr>
            <w:hyperlink r:id="rId115">
              <w:r>
                <w:rPr>
                  <w:rFonts w:ascii="Times New Roman" w:cs="Times New Roman" w:eastAsia="Times New Roman" w:hAnsi="Times New Roman"/>
                  <w:sz w:val="17"/>
                  <w:szCs w:val="17"/>
                  <w:color w:val="0000FF"/>
                  <w:w w:val="95"/>
                </w:rPr>
                <w:t>2023).</w:t>
              </w:r>
            </w:hyperlink>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Fourth Amendment to Credit Agreement, dated as of November 5th, 2024, by and among AMN Healthcare, Inc., as borrower, the guarantors</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party thereto, the lenders identified on the signature pages thereto, as lenders, and Truist Bank, as administrative agent (Incorporated by</w:t>
              </w:r>
            </w:hyperlink>
          </w:p>
        </w:tc>
        <w:tc>
          <w:tcPr>
            <w:tcW w:w="40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140" w:type="dxa"/>
            <w:vAlign w:val="bottom"/>
            <w:gridSpan w:val="41"/>
          </w:tcPr>
          <w:p>
            <w:pPr>
              <w:spacing w:after="0" w:line="163"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reference to Exhibit 4.1 to the Registrant’s Quarterly Report on Form 10-Q for the quarter ended September 30, 2024, filed with the SEC on</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November 7, 2024).</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10.6</w:t>
            </w: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100" w:type="dxa"/>
            <w:vAlign w:val="bottom"/>
            <w:gridSpan w:val="3"/>
            <w:vMerge w:val="continue"/>
          </w:tcPr>
          <w:p>
            <w:pPr>
              <w:spacing w:after="0"/>
              <w:rPr>
                <w:sz w:val="24"/>
                <w:szCs w:val="24"/>
                <w:color w:val="auto"/>
              </w:rPr>
            </w:pPr>
          </w:p>
        </w:tc>
        <w:tc>
          <w:tcPr>
            <w:tcW w:w="10140" w:type="dxa"/>
            <w:vAlign w:val="bottom"/>
            <w:gridSpan w:val="41"/>
            <w:vMerge w:val="restart"/>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Fifth Amendment to Credit Agreement, dated as of October 6, 2025, by and among AMN Healthcare, Inc., as borrower, the guarantors party</w:t>
              </w:r>
            </w:hyperlink>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140" w:type="dxa"/>
            <w:vAlign w:val="bottom"/>
            <w:gridSpan w:val="4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tcBorders>
              <w:top w:val="single" w:sz="8" w:color="0000FF"/>
            </w:tcBorders>
            <w:gridSpan w:val="30"/>
          </w:tcPr>
          <w:p>
            <w:pPr>
              <w:spacing w:after="0" w:line="16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thereto, the lenders identified on the signature pages thereto, as lenders, and Truist Bank, as administrative agent (Incorporated by reference</w:t>
              </w:r>
            </w:hyperlink>
          </w:p>
        </w:tc>
        <w:tc>
          <w:tcPr>
            <w:tcW w:w="280" w:type="dxa"/>
            <w:vAlign w:val="bottom"/>
            <w:gridSpan w:val="11"/>
          </w:tcPr>
          <w:p>
            <w:pPr>
              <w:spacing w:after="0" w:line="16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to</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Exhibit 10.1 of the Registrant’s Current Report on Form 8-K filed with the SEC on October 6, 2025).</w:t>
              </w:r>
            </w:hyperlink>
          </w:p>
        </w:tc>
        <w:tc>
          <w:tcPr>
            <w:tcW w:w="290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10.7</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Office Lease, dated as of April 2, 2002, between Kilroy Realty, L.P. and AMN Healthcare, Inc. (Incorporated by reference to Exhibit 10.45 of</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tcBorders>
              <w:top w:val="single" w:sz="8" w:color="0000FF"/>
            </w:tcBorders>
            <w:gridSpan w:val="34"/>
          </w:tcPr>
          <w:p>
            <w:pPr>
              <w:spacing w:after="0" w:line="150"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the Registrant’s Registration Statement on Form S-1 (File No. 333-86952), filed with the SEC on April 25, 2002).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580" w:type="dxa"/>
            <w:vAlign w:val="bottom"/>
            <w:tcBorders>
              <w:left w:val="single" w:sz="8" w:color="0000FF"/>
            </w:tcBorders>
            <w:gridSpan w:val="9"/>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10.8</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First Amendment to Office Lease, dated as of May 31, 2002, between Kilroy Realty, L.P. and AMN Healthcare, Inc. (Incorporated by reference</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40" w:type="dxa"/>
            <w:vAlign w:val="bottom"/>
            <w:tcBorders>
              <w:top w:val="single" w:sz="8" w:color="0000FF"/>
            </w:tcBorders>
            <w:gridSpan w:val="39"/>
          </w:tcPr>
          <w:p>
            <w:pPr>
              <w:spacing w:after="0" w:line="150"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to Exhibit 10.5 of the Registrant’s Annual Report on Form 10-K for the year ended December 31, 2021, filed with the SEC on February 24,</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Borders>
              <w:top w:val="single" w:sz="8" w:color="0000FF"/>
              <w:bottom w:val="single" w:sz="8" w:color="0000FF"/>
            </w:tcBorders>
          </w:tcPr>
          <w:p>
            <w:pPr>
              <w:spacing w:after="0" w:line="163" w:lineRule="exact"/>
              <w:rPr>
                <w:rFonts w:ascii="Times New Roman" w:cs="Times New Roman" w:eastAsia="Times New Roman" w:hAnsi="Times New Roman"/>
                <w:sz w:val="17"/>
                <w:szCs w:val="17"/>
                <w:color w:val="0000FF"/>
                <w:w w:val="95"/>
              </w:rPr>
            </w:pPr>
            <w:hyperlink r:id="rId119">
              <w:r>
                <w:rPr>
                  <w:rFonts w:ascii="Times New Roman" w:cs="Times New Roman" w:eastAsia="Times New Roman" w:hAnsi="Times New Roman"/>
                  <w:sz w:val="17"/>
                  <w:szCs w:val="17"/>
                  <w:color w:val="0000FF"/>
                  <w:w w:val="95"/>
                </w:rPr>
                <w:t>2022).</w:t>
              </w:r>
            </w:hyperlink>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10.9</w:t>
            </w:r>
          </w:p>
        </w:tc>
        <w:tc>
          <w:tcPr>
            <w:tcW w:w="10140" w:type="dxa"/>
            <w:vAlign w:val="bottom"/>
            <w:gridSpan w:val="41"/>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Second Amendment to Office Lease, dated as of June 30, 2006, between Kilroy Realty, L.P. and AMN Healthcare, Inc. (Incorporated by</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reference to Exhibit 10.6 of the Registrant’s Annual Report on Form 10-K for the year ended December 31, 2021, filed with the SEC on</w:t>
              </w:r>
            </w:hyperlink>
          </w:p>
        </w:tc>
        <w:tc>
          <w:tcPr>
            <w:tcW w:w="480" w:type="dxa"/>
            <w:vAlign w:val="bottom"/>
            <w:gridSpan w:val="17"/>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2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February 24, 2022).</w:t>
              </w:r>
            </w:hyperlink>
          </w:p>
        </w:tc>
        <w:tc>
          <w:tcPr>
            <w:tcW w:w="500" w:type="dxa"/>
            <w:vAlign w:val="bottom"/>
            <w:gridSpan w:val="18"/>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600" w:type="dxa"/>
            <w:vAlign w:val="bottom"/>
            <w:gridSpan w:val="2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10.10</w:t>
            </w:r>
          </w:p>
        </w:tc>
        <w:tc>
          <w:tcPr>
            <w:tcW w:w="942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Third Amendment to Office Lease, dated as of June 30, 2014, between Kilroy Realty, L.P. and AMN Healthcare, Inc. (Incorporated by</w:t>
              </w:r>
            </w:hyperlink>
          </w:p>
        </w:tc>
        <w:tc>
          <w:tcPr>
            <w:tcW w:w="72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gridSpan w:val="41"/>
          </w:tcPr>
          <w:p>
            <w:pPr>
              <w:spacing w:after="0" w:line="150"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reference to Exhibit 10.1 of the Registrant’s Quarterly Report on Form 10-Q for the quarter ended June 30, 2014, filed with the SEC on August</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top w:val="single" w:sz="8" w:color="0000FF"/>
              <w:bottom w:val="single" w:sz="8" w:color="0000FF"/>
            </w:tcBorders>
            <w:gridSpan w:val="2"/>
          </w:tcPr>
          <w:p>
            <w:pPr>
              <w:spacing w:after="0" w:line="163" w:lineRule="exact"/>
              <w:rPr>
                <w:rFonts w:ascii="Times New Roman" w:cs="Times New Roman" w:eastAsia="Times New Roman" w:hAnsi="Times New Roman"/>
                <w:sz w:val="17"/>
                <w:szCs w:val="17"/>
                <w:color w:val="0000FF"/>
                <w:w w:val="98"/>
              </w:rPr>
            </w:pPr>
            <w:hyperlink r:id="rId121">
              <w:r>
                <w:rPr>
                  <w:rFonts w:ascii="Times New Roman" w:cs="Times New Roman" w:eastAsia="Times New Roman" w:hAnsi="Times New Roman"/>
                  <w:sz w:val="17"/>
                  <w:szCs w:val="17"/>
                  <w:color w:val="0000FF"/>
                  <w:w w:val="98"/>
                </w:rPr>
                <w:t>1, 2014).</w:t>
              </w:r>
            </w:hyperlink>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8"/>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gridSpan w:val="9"/>
          </w:tcPr>
          <w:p>
            <w:pPr>
              <w:ind w:left="4440"/>
              <w:spacing w:after="0"/>
              <w:rPr>
                <w:sz w:val="20"/>
                <w:szCs w:val="20"/>
                <w:color w:val="auto"/>
              </w:rPr>
            </w:pPr>
            <w:r>
              <w:rPr>
                <w:rFonts w:ascii="Times New Roman" w:cs="Times New Roman" w:eastAsia="Times New Roman" w:hAnsi="Times New Roman"/>
                <w:sz w:val="17"/>
                <w:szCs w:val="17"/>
                <w:color w:val="auto"/>
              </w:rPr>
              <w:t>76</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36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3"/>
        </w:trPr>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60" w:type="dxa"/>
            <w:vAlign w:val="bottom"/>
            <w:gridSpan w:val="2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10.11</w:t>
            </w:r>
          </w:p>
        </w:tc>
        <w:tc>
          <w:tcPr>
            <w:tcW w:w="946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Lease Termination Agreement, dated as of September 9, 2021, between Kilroy Realty, L.P. and AMN Healthcare, Inc. (Incorporated by</w:t>
              </w:r>
            </w:hyperlink>
          </w:p>
        </w:tc>
        <w:tc>
          <w:tcPr>
            <w:tcW w:w="64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00" w:type="dxa"/>
            <w:vAlign w:val="bottom"/>
            <w:gridSpan w:val="28"/>
          </w:tcPr>
          <w:p>
            <w:pPr>
              <w:spacing w:after="0" w:line="150"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reference to Exhibit 10.1 of the Registrant’s Quarterly Report on Form 10-Q for the quarter ended September 30, 2021, filed with the SEC on</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2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November 5, 2021).</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10.12</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Fourth Amendment to Office Lease, dated as of October 5, 2021, between Kilroy Realty, L.P. and AMN Healthcare, Inc. (Incorporated by</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40" w:type="dxa"/>
            <w:vAlign w:val="bottom"/>
            <w:tcBorders>
              <w:top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reference to Exhibit 10.9 of the Registrant’s Annual Report on Form 10-K for the year ended December 31, 2021, filed with the SEC on</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520" w:type="dxa"/>
            <w:vAlign w:val="bottom"/>
            <w:tcBorders>
              <w:top w:val="single" w:sz="8" w:color="0000FF"/>
            </w:tcBorders>
            <w:gridSpan w:val="14"/>
          </w:tcPr>
          <w:p>
            <w:pPr>
              <w:spacing w:after="0" w:line="16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February 24, 2022).</w:t>
              </w:r>
            </w:hyperlink>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10.13</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AMN Healthcare 2017 Equity Plan (Management Contract or Compensatory Plan or Arrangement) effective as of April 19, 2017 (Incorporated</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by reference to Exhibit 10.1 of the Registrant’s Current Report on Form 8-K dated April 19, 2017, filed with the SEC on April 25, 2017).</w:t>
              </w:r>
            </w:hyperlink>
          </w:p>
        </w:tc>
        <w:tc>
          <w:tcPr>
            <w:tcW w:w="4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10.14</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AMN Healthcare 2025 Equity Plan effective as of March 13, 2025 (Incorporated by reference to Exhibit 10.1 of the Registrant’s Current Report</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6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on Form 8-K dated May 2, 2025, filed with the SEC on May 5,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10.15</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Form of AMN Healthcare Equity Plan Restricted Stock Unit Agreement—Director (Management Contract or Compensatory Plan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Arrangement) (Incorporated by reference to Exhibit 10.1 of the Registrant’s Quarterly Report on Form 10-Q for the quarter ended</w:t>
              </w:r>
            </w:hyperlink>
          </w:p>
        </w:tc>
        <w:tc>
          <w:tcPr>
            <w:tcW w:w="840" w:type="dxa"/>
            <w:vAlign w:val="bottom"/>
            <w:gridSpan w:val="17"/>
          </w:tcPr>
          <w:p>
            <w:pPr>
              <w:jc w:val="center"/>
              <w:ind w:right="240"/>
              <w:spacing w:after="0" w:line="150" w:lineRule="exact"/>
              <w:rPr>
                <w:rFonts w:ascii="Times New Roman" w:cs="Times New Roman" w:eastAsia="Times New Roman" w:hAnsi="Times New Roman"/>
                <w:sz w:val="17"/>
                <w:szCs w:val="17"/>
                <w:color w:val="0000FF"/>
                <w:w w:val="82"/>
              </w:rPr>
            </w:pPr>
            <w:hyperlink r:id="rId128">
              <w:r>
                <w:rPr>
                  <w:rFonts w:ascii="Times New Roman" w:cs="Times New Roman" w:eastAsia="Times New Roman" w:hAnsi="Times New Roman"/>
                  <w:sz w:val="17"/>
                  <w:szCs w:val="17"/>
                  <w:color w:val="0000FF"/>
                  <w:w w:val="82"/>
                </w:rPr>
                <w:t>September</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30, 2022, filed with the SEC on November 4,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10.16</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of AMN Healthcare Equity Plan Restricted Stock Unit Agreement—Officer (Management Contract or Compensatory Plan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8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Arrangement) (Incorporated by reference to Exhibit 99.5 of the Registrant’s Current Report on Form 8-K dated April 12, 2006, filed</w:t>
              </w:r>
            </w:hyperlink>
          </w:p>
        </w:tc>
        <w:tc>
          <w:tcPr>
            <w:tcW w:w="920" w:type="dxa"/>
            <w:vAlign w:val="bottom"/>
            <w:gridSpan w:val="18"/>
          </w:tcPr>
          <w:p>
            <w:pPr>
              <w:jc w:val="center"/>
              <w:ind w:right="120"/>
              <w:spacing w:after="0" w:line="150"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with the</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tcBorders>
              <w:top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SEC on April 14, 2006).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10.17</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Form of AMN Healthcare Equity Plan Restricted Stock Unit Agreement—Officer (Management Contract or Compensatory Plan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8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Arrangement) (Incorporated by reference to Exhibit 10.1 of the Registrant’s Quarterly Report on Form 10-Q for the quarter ended</w:t>
              </w:r>
            </w:hyperlink>
          </w:p>
        </w:tc>
        <w:tc>
          <w:tcPr>
            <w:tcW w:w="920" w:type="dxa"/>
            <w:vAlign w:val="bottom"/>
            <w:gridSpan w:val="18"/>
          </w:tcPr>
          <w:p>
            <w:pPr>
              <w:spacing w:after="0" w:line="150"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March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4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2010, filed with the SEC on May 7, 2010).</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10.18</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Form of AMN Healthcare Equity Plan Restricted Stock Unit Agreement—Director (One Year Vesting and Settlement) (Management Contract</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or Compensatory Plan or Arrangement) (Incorporated by reference to Exhibit 10.2 of the Registrant’s Quarterly Report on Form 10-Q for the</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40" w:type="dxa"/>
            <w:vAlign w:val="bottom"/>
            <w:tcBorders>
              <w:top w:val="single" w:sz="8" w:color="0000FF"/>
              <w:bottom w:val="single" w:sz="8" w:color="0000FF"/>
            </w:tcBorders>
            <w:gridSpan w:val="5"/>
          </w:tcPr>
          <w:p>
            <w:pPr>
              <w:spacing w:after="0" w:line="16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quarter ended June 30, 2012, filed with the SEC on August 7, 2012).</w:t>
              </w:r>
            </w:hyperlink>
          </w:p>
        </w:tc>
        <w:tc>
          <w:tcPr>
            <w:tcW w:w="5160" w:type="dxa"/>
            <w:vAlign w:val="bottom"/>
            <w:tcBorders>
              <w:top w:val="single" w:sz="8" w:color="0000FF"/>
            </w:tcBorders>
            <w:gridSpan w:val="16"/>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10.19</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AMN Healthcare Equity Plan Restricted Stock Unit Agreement—Officer (Management Contract or Compensatory Plan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80" w:type="dxa"/>
            <w:vAlign w:val="bottom"/>
            <w:tcBorders>
              <w:top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Arrangement) (Incorporated by reference to Exhibit 10.2 of the Registrant’s Quarterly Report on Form 10-Q for the quarter ended</w:t>
              </w:r>
            </w:hyperlink>
          </w:p>
        </w:tc>
        <w:tc>
          <w:tcPr>
            <w:tcW w:w="920" w:type="dxa"/>
            <w:vAlign w:val="bottom"/>
            <w:gridSpan w:val="18"/>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March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4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2014, filed with the SEC on May 2, 2014).</w:t>
              </w:r>
            </w:hyperlink>
          </w:p>
        </w:tc>
        <w:tc>
          <w:tcPr>
            <w:tcW w:w="18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10.20</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Form of AMN Healthcare Equity Plan Restricted Stock Unit Agreement—Director (One Year Vesting with Deferral) (Management Contract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Compensatory Plan or Arrangement) (Incorporated by reference to Exhibit 10.4 of the Registrant’s Quarterly Report on Form 10-Q for the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8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quarter ended March 31, 2014, filed with the SEC on May 2, 2014).</w:t>
              </w:r>
            </w:hyperlink>
          </w:p>
        </w:tc>
        <w:tc>
          <w:tcPr>
            <w:tcW w:w="4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740" w:type="dxa"/>
            <w:vAlign w:val="bottom"/>
            <w:tcBorders>
              <w:right w:val="single" w:sz="8" w:color="0000FF"/>
            </w:tcBorders>
            <w:gridSpan w:val="5"/>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10.21</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of AMN Healthcare Equity Plan Restricted Stock Unit Agreement—Director (One Year Vesting with Deferral) (Management Contract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Compensatory Plan or Arrangement) (Incorporated by reference to Exhibit 10.4 of the Registrant’s Quarterly Report on Form 10-Q for the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8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quarter ended March 31, 2018, filed with the SEC on May 4, 2018).</w:t>
              </w:r>
            </w:hyperlink>
          </w:p>
        </w:tc>
        <w:tc>
          <w:tcPr>
            <w:tcW w:w="4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740" w:type="dxa"/>
            <w:vAlign w:val="bottom"/>
            <w:tcBorders>
              <w:right w:val="single" w:sz="8" w:color="0000FF"/>
            </w:tcBorders>
            <w:gridSpan w:val="5"/>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10.22</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of AMN Healthcare Equity Plan Restricted Stock Unit Agreement—Director (One Year Vesting and Settlement) (Management Contract</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or Compensatory Plan or Arrangement) (Incorporated by reference to Exhibit 10.5 of the Registrant’s Quarterly Report on Form 10-Q for the</w:t>
              </w:r>
            </w:hyperlink>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00" w:type="dxa"/>
            <w:vAlign w:val="bottom"/>
            <w:tcBorders>
              <w:top w:val="single" w:sz="8" w:color="0000FF"/>
            </w:tcBorders>
            <w:gridSpan w:val="21"/>
          </w:tcPr>
          <w:p>
            <w:pPr>
              <w:spacing w:after="0" w:line="16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quarter ended March 31, 2018, filed with the SEC on May 4, 2018).</w:t>
              </w:r>
            </w:hyperlink>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740" w:type="dxa"/>
            <w:vAlign w:val="bottom"/>
            <w:tcBorders>
              <w:right w:val="single" w:sz="8" w:color="0000FF"/>
            </w:tcBorders>
            <w:gridSpan w:val="5"/>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10.23</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AMN Healthcare Equity Plan Performance Restricted Stock Unit Agreement - Executive (TSR) (Management Contract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60" w:type="dxa"/>
            <w:vAlign w:val="bottom"/>
            <w:tcBorders>
              <w:top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Compensatory Plan or Arrangement) (Incorporated by reference to Exhibit 10.2 of the Registrant’s Quarterly Report on Form 10-Q</w:t>
              </w:r>
            </w:hyperlink>
          </w:p>
        </w:tc>
        <w:tc>
          <w:tcPr>
            <w:tcW w:w="940" w:type="dxa"/>
            <w:vAlign w:val="bottom"/>
            <w:gridSpan w:val="19"/>
          </w:tcPr>
          <w:p>
            <w:pPr>
              <w:ind w:left="60"/>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 the</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8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quarter ended March 31, 2019, filed with the SEC on May 3, 2019).</w:t>
              </w:r>
            </w:hyperlink>
          </w:p>
        </w:tc>
        <w:tc>
          <w:tcPr>
            <w:tcW w:w="4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740" w:type="dxa"/>
            <w:vAlign w:val="bottom"/>
            <w:tcBorders>
              <w:right w:val="single" w:sz="8" w:color="0000FF"/>
            </w:tcBorders>
            <w:gridSpan w:val="5"/>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10.24</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Form of AMN Healthcare Equity Plan Performance Restricted Stock Unit Agreement - Non-Executive (TSR)(Management Contract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8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Compensatory Plan or Arrangement) (Incorporated by reference to Exhibit 10.4 of the Registrant’s Quarterly Report on Form 10-Q for</w:t>
              </w:r>
            </w:hyperlink>
          </w:p>
        </w:tc>
        <w:tc>
          <w:tcPr>
            <w:tcW w:w="620" w:type="dxa"/>
            <w:vAlign w:val="bottom"/>
            <w:gridSpan w:val="15"/>
          </w:tcPr>
          <w:p>
            <w:pPr>
              <w:jc w:val="center"/>
              <w:ind w:right="420"/>
              <w:spacing w:after="0" w:line="150" w:lineRule="exact"/>
              <w:rPr>
                <w:rFonts w:ascii="Times New Roman" w:cs="Times New Roman" w:eastAsia="Times New Roman" w:hAnsi="Times New Roman"/>
                <w:sz w:val="17"/>
                <w:szCs w:val="17"/>
                <w:color w:val="0000FF"/>
                <w:w w:val="96"/>
              </w:rPr>
            </w:pPr>
            <w:hyperlink r:id="rId137">
              <w:r>
                <w:rPr>
                  <w:rFonts w:ascii="Times New Roman" w:cs="Times New Roman" w:eastAsia="Times New Roman" w:hAnsi="Times New Roman"/>
                  <w:sz w:val="17"/>
                  <w:szCs w:val="17"/>
                  <w:color w:val="0000FF"/>
                  <w:w w:val="96"/>
                </w:rPr>
                <w:t>the</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8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quarter ended March 31, 2019, filed with the SEC on May 3, 2019).</w:t>
              </w:r>
            </w:hyperlink>
          </w:p>
        </w:tc>
        <w:tc>
          <w:tcPr>
            <w:tcW w:w="4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4740" w:type="dxa"/>
            <w:vAlign w:val="bottom"/>
            <w:tcBorders>
              <w:right w:val="single" w:sz="8" w:color="0000FF"/>
            </w:tcBorders>
            <w:gridSpan w:val="5"/>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20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10.25</w:t>
            </w:r>
          </w:p>
        </w:tc>
        <w:tc>
          <w:tcPr>
            <w:tcW w:w="10100" w:type="dxa"/>
            <w:vAlign w:val="bottom"/>
            <w:gridSpan w:val="28"/>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AMN Healthcare 2017 Senior Executive Incentive Bonus Plan (Management Contract or Compensatory Plan or Arrangement) (Incorporated by</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reference to Exhibit C of the Registrant’s Definitive Proxy Statement on Schedule 14A, filed on March 9, 2017).</w:t>
              </w:r>
            </w:hyperlink>
          </w:p>
        </w:tc>
        <w:tc>
          <w:tcPr>
            <w:tcW w:w="22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10.26</w:t>
            </w:r>
          </w:p>
        </w:tc>
        <w:tc>
          <w:tcPr>
            <w:tcW w:w="10100" w:type="dxa"/>
            <w:vAlign w:val="bottom"/>
            <w:gridSpan w:val="28"/>
          </w:tcPr>
          <w:p>
            <w:pPr>
              <w:spacing w:after="0"/>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AMN Healthcare 2022 Senior Executive Performance and Retention Bonus Plan (Management Contract or Compensatory Plan or</w:t>
              </w:r>
            </w:hyperlink>
          </w:p>
        </w:tc>
        <w:tc>
          <w:tcPr>
            <w:tcW w:w="0" w:type="dxa"/>
            <w:vAlign w:val="bottom"/>
          </w:tcPr>
          <w:p>
            <w:pPr>
              <w:spacing w:after="0"/>
              <w:rPr>
                <w:sz w:val="1"/>
                <w:szCs w:val="1"/>
                <w:color w:val="auto"/>
              </w:rPr>
            </w:pPr>
          </w:p>
        </w:tc>
      </w:tr>
    </w:tbl>
    <w:p>
      <w:pPr>
        <w:ind w:left="1100" w:right="240"/>
        <w:spacing w:after="0"/>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Arrangement) (Incorporated by reference to Exhibit 10.5 of the Registrant’s Quarterly Report on Form 10-Q for the quarter ended March 31,</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2022, filed with the SEC on May 6, 2022).</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38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3"/>
        </w:trPr>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380" w:type="dxa"/>
            <w:vAlign w:val="bottom"/>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10.27</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The 2005 Amended and Restated Executive Nonqualified Excess Plan of AMN Healthcare, Inc., effective January 1, 2009 (Management</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80" w:type="dxa"/>
            <w:vAlign w:val="bottom"/>
            <w:tcBorders>
              <w:top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Contract or Compensatory Plan or Arrangement) (Incorporated by reference to Exhibit 10.2 of the Registrant’s Quarterly Report on Form</w:t>
              </w:r>
            </w:hyperlink>
          </w:p>
        </w:tc>
        <w:tc>
          <w:tcPr>
            <w:tcW w:w="500" w:type="dxa"/>
            <w:vAlign w:val="bottom"/>
            <w:gridSpan w:val="13"/>
          </w:tcPr>
          <w:p>
            <w:pPr>
              <w:ind w:left="80"/>
              <w:spacing w:after="0" w:line="15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10-Q</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9"/>
          </w:tcPr>
          <w:p>
            <w:pPr>
              <w:spacing w:after="0" w:line="16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for the quarter ended September 30, 2008, filed with the SEC on November 7, 2008).</w:t>
              </w:r>
            </w:hyperlink>
          </w:p>
        </w:tc>
        <w:tc>
          <w:tcPr>
            <w:tcW w:w="40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10.28</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Indemnification Agreement—Officer and Director (Incorporated by reference to Exhibit 10.14 of the Registrant’s Annual Report on</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10-K for the fiscal year ended December 31, 2009, filed with the SEC on March 5, 2010).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10.29</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of Indemnification Agreement—Officer (Incorporated by reference to Exhibit 10.28 of the Registrant’s Annual Report on Form 10-K for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the year ended December 31, 2024, filed with the SEC on February 21, 2025).</w:t>
              </w:r>
            </w:hyperlink>
          </w:p>
        </w:tc>
        <w:tc>
          <w:tcPr>
            <w:tcW w:w="454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10.30</w:t>
            </w:r>
          </w:p>
        </w:tc>
        <w:tc>
          <w:tcPr>
            <w:tcW w:w="926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Form of AMN Healthcare Equity Plan Performance Restricted Stock Unit Agreement - Non-Executive (Adjusted EBITDA Growth)</w:t>
              </w:r>
            </w:hyperlink>
          </w:p>
        </w:tc>
        <w:tc>
          <w:tcPr>
            <w:tcW w:w="820" w:type="dxa"/>
            <w:vAlign w:val="bottom"/>
            <w:gridSpan w:val="18"/>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(Management Contract or Compensatory Plan or Arrangement) (Incorporated by reference to Exhibit 10.2 to the Registrant’s Quarterly Report</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0" w:type="dxa"/>
            <w:vAlign w:val="bottom"/>
            <w:tcBorders>
              <w:top w:val="single" w:sz="8" w:color="0000FF"/>
            </w:tcBorders>
            <w:gridSpan w:val="29"/>
          </w:tcPr>
          <w:p>
            <w:pPr>
              <w:spacing w:after="0" w:line="16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on Form 10-Q for the quarter ended March 31, 2021, filed with the SEC on May 10, 2021).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10.31</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Form of AMN 2017 Healthcare Equity Plan Restricted Stock Unit Agreement - Executive (Management Contract or Compensatory Plan or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Arrangement) (Incorporated by reference to Exhibit 10.52 of the Registrant’s Annual Report on Form 10-K for the year ended December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2022, filed with the SEC on February 22, 2023).</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10.32</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AMN Healthcare Equity Plan Performance Restricted Stock Unit Agreement - Executive (Adjusted EBITDA Performance)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(Management Contract or Compensatory Plan or Arrangement) (Incorporated by reference to Exhibit 10.53 of the Registrant’s Annual Report</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12"/>
          </w:tcPr>
          <w:p>
            <w:pPr>
              <w:spacing w:after="0" w:line="16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on Form 10-K for the year ended December 31, 2022, filed with the SEC on February 22, 2023).</w:t>
              </w:r>
            </w:hyperlink>
          </w:p>
        </w:tc>
        <w:tc>
          <w:tcPr>
            <w:tcW w:w="31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10.33</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Form of AMN Healthcare Equity Plan Performance Restricted Stock Unit Agreement - Executive (TSR) (Management Contract or</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6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Compensatory Plan or Arrangement) (Incorporated by reference to Exhibit 10.54 of the Registrant’s Annual Report on Form 10-K</w:t>
              </w:r>
            </w:hyperlink>
          </w:p>
        </w:tc>
        <w:tc>
          <w:tcPr>
            <w:tcW w:w="920" w:type="dxa"/>
            <w:vAlign w:val="bottom"/>
            <w:gridSpan w:val="20"/>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 the year</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60" w:type="dxa"/>
            <w:vAlign w:val="bottom"/>
            <w:tcBorders>
              <w:top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ended December 31, 2022, filed with the SEC on February 22, 2023).</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10.34</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AMN 2017 Healthcare Equity Plan Restricted Stock Unit Agreement - Executive (Buy-Out) (Management Contract or Compensatory</w:t>
              </w:r>
            </w:hyperlink>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8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Plan or Arrangement) (Incorporated by reference to Exhibit 10.55 of the Registrant’s Annual Report on Form 10-K for the year ended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6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December 31, 2022, filed with the SEC on February 22, 2023).</w:t>
              </w:r>
            </w:hyperlink>
          </w:p>
        </w:tc>
        <w:tc>
          <w:tcPr>
            <w:tcW w:w="4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10.35</w:t>
            </w:r>
          </w:p>
        </w:tc>
        <w:tc>
          <w:tcPr>
            <w:tcW w:w="928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Amended and Restated Severance Agreement, effective as of May 8, 2020 (Management Contract or Compensatory Plan or</w:t>
              </w:r>
            </w:hyperlink>
          </w:p>
        </w:tc>
        <w:tc>
          <w:tcPr>
            <w:tcW w:w="80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Arrangement) (Incorporated by reference to Exhibit 10.4 to the Registrant’s Quarterly Report on Form 10-Q for the quarter ended March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4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2020, filed with the SEC on May 11, 2020).</w:t>
              </w:r>
            </w:hyperlink>
          </w:p>
        </w:tc>
        <w:tc>
          <w:tcPr>
            <w:tcW w:w="80" w:type="dxa"/>
            <w:vAlign w:val="bottom"/>
            <w:gridSpan w:val="3"/>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10.36</w:t>
            </w:r>
          </w:p>
        </w:tc>
        <w:tc>
          <w:tcPr>
            <w:tcW w:w="932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Severance Agreement, effective as of November 28, 2022, between AMN Healthcare, Inc. and Cary Grace (Management Contract or</w:t>
              </w:r>
            </w:hyperlink>
          </w:p>
        </w:tc>
        <w:tc>
          <w:tcPr>
            <w:tcW w:w="7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Compensatory Plan or Arrangement) (Incorporated by reference to Exhibit 10.2 of the Registrant’s Quarterly Report on Form 10-Q for the</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7"/>
          </w:tcPr>
          <w:p>
            <w:pPr>
              <w:spacing w:after="0" w:line="16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quarter ended September 30, 2022, filed with the SEC on November 4, 2022).</w:t>
              </w:r>
            </w:hyperlink>
          </w:p>
        </w:tc>
        <w:tc>
          <w:tcPr>
            <w:tcW w:w="4280" w:type="dxa"/>
            <w:vAlign w:val="bottom"/>
            <w:tcBorders>
              <w:top w:val="single" w:sz="8" w:color="0000FF"/>
            </w:tcBorders>
            <w:gridSpan w:val="14"/>
          </w:tcPr>
          <w:p>
            <w:pPr>
              <w:spacing w:after="0"/>
              <w:rPr>
                <w:sz w:val="14"/>
                <w:szCs w:val="14"/>
                <w:color w:val="auto"/>
              </w:rPr>
            </w:pPr>
          </w:p>
        </w:tc>
        <w:tc>
          <w:tcPr>
            <w:tcW w:w="180" w:type="dxa"/>
            <w:vAlign w:val="bottom"/>
            <w:gridSpan w:val="4"/>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10.37</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Form of AMN 2017 Healthcare Equity Plan Restricted Stock Unit Agreement - Executive (Management Contract or Compensatory Plan or</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0" w:type="dxa"/>
            <w:vAlign w:val="bottom"/>
            <w:gridSpan w:val="19"/>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Arrangement) (Incorporated by reference to Exhibit 10.40 of the Registrant’s Annual Report on Form 10-K for the year ended December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2023, filed with the SEC on February 22, 2024).</w:t>
              </w:r>
            </w:hyperlink>
          </w:p>
        </w:tc>
        <w:tc>
          <w:tcPr>
            <w:tcW w:w="6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6020" w:type="dxa"/>
            <w:vAlign w:val="bottom"/>
            <w:gridSpan w:val="17"/>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10.38</w:t>
            </w:r>
          </w:p>
        </w:tc>
        <w:tc>
          <w:tcPr>
            <w:tcW w:w="94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AMN 2017 Healthcare Equity Plan Restricted Stock Unit Agreement - CEO (Management Contract or Compensatory Plan or</w:t>
              </w:r>
            </w:hyperlink>
          </w:p>
        </w:tc>
        <w:tc>
          <w:tcPr>
            <w:tcW w:w="68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Arrangement) (Incorporated by reference to Exhibit 10.41 of the Registrant’s Annual Report on Form 10-K for the year ended December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2023, filed with the SEC on February 22, 2024).</w:t>
              </w:r>
            </w:hyperlink>
          </w:p>
        </w:tc>
        <w:tc>
          <w:tcPr>
            <w:tcW w:w="6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6540" w:type="dxa"/>
            <w:vAlign w:val="bottom"/>
            <w:gridSpan w:val="2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10.39</w:t>
            </w:r>
          </w:p>
        </w:tc>
        <w:tc>
          <w:tcPr>
            <w:tcW w:w="992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AMN 2017 Healthcare Equity Plan Restricted Stock Unit Agreement - Non-Executive (Management Contract or Compensatory Plan</w:t>
              </w:r>
            </w:hyperlink>
          </w:p>
        </w:tc>
        <w:tc>
          <w:tcPr>
            <w:tcW w:w="1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or Arrangement) (Incorporated by reference to Exhibit 10.42 of the Registrant’s Annual Report on Form 10-K for the year ended December 31,</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6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2023, filed with the SEC on February 22, 2024).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670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10.40</w:t>
            </w:r>
          </w:p>
        </w:tc>
        <w:tc>
          <w:tcPr>
            <w:tcW w:w="10080" w:type="dxa"/>
            <w:vAlign w:val="bottom"/>
            <w:gridSpan w:val="33"/>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AMN Healthcare Equity Plan Performance Restricted Stock Unit Agreement - Executive (Adjusted EBITDA Performance)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40" w:type="dxa"/>
            <w:vAlign w:val="bottom"/>
            <w:gridSpan w:val="14"/>
            <w:shd w:val="clear" w:color="auto" w:fill="0000FF"/>
          </w:tcPr>
          <w:p>
            <w:pPr>
              <w:spacing w:after="0" w:line="20" w:lineRule="exact"/>
              <w:rPr>
                <w:sz w:val="1"/>
                <w:szCs w:val="1"/>
                <w:color w:val="auto"/>
              </w:rPr>
            </w:pPr>
          </w:p>
        </w:tc>
        <w:tc>
          <w:tcPr>
            <w:tcW w:w="8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80" w:type="dxa"/>
            <w:vAlign w:val="bottom"/>
            <w:gridSpan w:val="33"/>
          </w:tcPr>
          <w:p>
            <w:pPr>
              <w:spacing w:after="0" w:line="150"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(Management Contract or Compensatory Plan or Arrangement) (Incorporated by reference to Exhibit 10.43 of the Registrant’s Annual Report</w:t>
              </w:r>
            </w:hyperlink>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12"/>
          </w:tcPr>
          <w:p>
            <w:pPr>
              <w:spacing w:after="0" w:line="16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on Form 10-K for the year ended December 31, 2023, filed with the SEC on February 22, 2024).</w:t>
              </w:r>
            </w:hyperlink>
          </w:p>
        </w:tc>
        <w:tc>
          <w:tcPr>
            <w:tcW w:w="3180" w:type="dxa"/>
            <w:vAlign w:val="bottom"/>
            <w:tcBorders>
              <w:top w:val="single" w:sz="8" w:color="0000FF"/>
            </w:tcBorders>
            <w:gridSpan w:val="14"/>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10.41</w:t>
            </w:r>
          </w:p>
        </w:tc>
        <w:tc>
          <w:tcPr>
            <w:tcW w:w="10080" w:type="dxa"/>
            <w:vAlign w:val="bottom"/>
            <w:gridSpan w:val="33"/>
          </w:tcPr>
          <w:p>
            <w:pPr>
              <w:spacing w:after="0"/>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Form of AMN Healthcare Equity Plan Performance Restricted Stock Unit Agreement - CEO (Adjusted EBITDA Performance) (Management</w:t>
              </w:r>
            </w:hyperlink>
          </w:p>
        </w:tc>
        <w:tc>
          <w:tcPr>
            <w:tcW w:w="0" w:type="dxa"/>
            <w:vAlign w:val="bottom"/>
          </w:tcPr>
          <w:p>
            <w:pPr>
              <w:spacing w:after="0"/>
              <w:rPr>
                <w:sz w:val="1"/>
                <w:szCs w:val="1"/>
                <w:color w:val="auto"/>
              </w:rPr>
            </w:pPr>
          </w:p>
        </w:tc>
      </w:tr>
    </w:tbl>
    <w:p>
      <w:pPr>
        <w:ind w:left="1100" w:right="80"/>
        <w:spacing w:after="0"/>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Contract or Compensatory Plan or Arrangement) (Incorporated by reference to Exhibit 10.44 of the Registrant’s Annual Report on Form 10-K</w:t>
        </w:r>
      </w:hyperlink>
      <w:r>
        <w:rPr>
          <w:rFonts w:ascii="Times New Roman" w:cs="Times New Roman" w:eastAsia="Times New Roman" w:hAnsi="Times New Roman"/>
          <w:sz w:val="17"/>
          <w:szCs w:val="17"/>
          <w:u w:val="single" w:color="auto"/>
          <w:color w:val="0000FF"/>
        </w:rPr>
        <w:t xml:space="preserve"> </w:t>
      </w:r>
      <w:hyperlink r:id="rId155">
        <w:r>
          <w:rPr>
            <w:rFonts w:ascii="Times New Roman" w:cs="Times New Roman" w:eastAsia="Times New Roman" w:hAnsi="Times New Roman"/>
            <w:sz w:val="17"/>
            <w:szCs w:val="17"/>
            <w:u w:val="single" w:color="auto"/>
            <w:color w:val="0000FF"/>
          </w:rPr>
          <w:t>for the year ended December 31, 2023, filed with the SEC on February 22, 2024).</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4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10.42</w:t>
            </w:r>
          </w:p>
        </w:tc>
        <w:tc>
          <w:tcPr>
            <w:tcW w:w="10140" w:type="dxa"/>
            <w:vAlign w:val="bottom"/>
            <w:gridSpan w:val="35"/>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AMN Healthcare Equity Plan Performance Restricted Stock Unit Agreement - Non-Executive (Adjusted EBITDA Performance)</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gridSpan w:val="35"/>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(Management Contract or Compensatory Plan or Arrangement) (Incorporated by reference to Exhibit 10.45 of the Registrant’s Annual Report</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14"/>
          </w:tcPr>
          <w:p>
            <w:pPr>
              <w:spacing w:after="0" w:line="16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on Form 10-K for the year ended December 31, 2023, filed with the SEC on February 22, 2024).</w:t>
              </w:r>
            </w:hyperlink>
          </w:p>
        </w:tc>
        <w:tc>
          <w:tcPr>
            <w:tcW w:w="31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10.43</w:t>
            </w:r>
          </w:p>
        </w:tc>
        <w:tc>
          <w:tcPr>
            <w:tcW w:w="10140" w:type="dxa"/>
            <w:vAlign w:val="bottom"/>
            <w:gridSpan w:val="35"/>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AMN Healthcare Equity Plan Performance Restricted Stock Unit Agreement - Executive (TSR) (Management Contract or</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Compensatory Plan or Arrangement) (Incorporated by reference to Exhibit 10.46 of the Registrant’s Annual Report on Form 10-K</w:t>
              </w:r>
            </w:hyperlink>
          </w:p>
        </w:tc>
        <w:tc>
          <w:tcPr>
            <w:tcW w:w="980" w:type="dxa"/>
            <w:vAlign w:val="bottom"/>
            <w:gridSpan w:val="17"/>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 the year</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60" w:type="dxa"/>
            <w:vAlign w:val="bottom"/>
            <w:tcBorders>
              <w:top w:val="single" w:sz="8" w:color="0000FF"/>
            </w:tcBorders>
            <w:gridSpan w:val="33"/>
          </w:tcPr>
          <w:p>
            <w:pPr>
              <w:spacing w:after="0" w:line="16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ended December 31, 2023, filed with the SEC on February 22, 2024).</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10.44</w:t>
            </w:r>
          </w:p>
        </w:tc>
        <w:tc>
          <w:tcPr>
            <w:tcW w:w="10140" w:type="dxa"/>
            <w:vAlign w:val="bottom"/>
            <w:gridSpan w:val="35"/>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of AMN Healthcare Equity Plan Performance Restricted Stock Unit Agreement - CEO (TSR) (Management Contract or Compensatory</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Plan or Arrangement) (Incorporated by reference to Exhibit 10.47 of the Registrant’s Annual Report on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6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December 31, 2023, filed with the SEC on February 22, 2024).</w:t>
              </w:r>
            </w:hyperlink>
          </w:p>
        </w:tc>
        <w:tc>
          <w:tcPr>
            <w:tcW w:w="1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10.45</w:t>
            </w:r>
          </w:p>
        </w:tc>
        <w:tc>
          <w:tcPr>
            <w:tcW w:w="10140" w:type="dxa"/>
            <w:vAlign w:val="bottom"/>
            <w:gridSpan w:val="35"/>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 of AMN Healthcare Equity Plan Performance Restricted Stock Unit Agreement - Non-Executive (TSR) (Management Contract or</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140" w:type="dxa"/>
            <w:vAlign w:val="bottom"/>
            <w:gridSpan w:val="35"/>
          </w:tcPr>
          <w:p>
            <w:pPr>
              <w:spacing w:after="0" w:line="150"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Compensatory Plan or Arrangement) (Incorporated by reference to Exhibit 10.48 of the Registrant’s Annual Report on Form 10-K for the year</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60" w:type="dxa"/>
            <w:vAlign w:val="bottom"/>
            <w:tcBorders>
              <w:top w:val="single" w:sz="8" w:color="0000FF"/>
            </w:tcBorders>
            <w:gridSpan w:val="33"/>
          </w:tcPr>
          <w:p>
            <w:pPr>
              <w:spacing w:after="0" w:line="16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ended December 31, 2023, filed with the SEC on February 22, 2024).</w:t>
              </w:r>
            </w:hyperlink>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10.46</w:t>
            </w:r>
          </w:p>
        </w:tc>
        <w:tc>
          <w:tcPr>
            <w:tcW w:w="10140" w:type="dxa"/>
            <w:vAlign w:val="bottom"/>
            <w:gridSpan w:val="35"/>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Form of AMN 2017 Healthcare Equity Plan Restricted Stock Unit Agreement - Executive (Management Contract or Compensatory Plan or</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Arrangement) (Incorporated by reference to Exhibit 10.1 to the Registrant’s Quarterly Report on Form 10-Q for the quarter ended September</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60" w:type="dxa"/>
            <w:vAlign w:val="bottom"/>
            <w:gridSpan w:val="28"/>
          </w:tcPr>
          <w:p>
            <w:pPr>
              <w:spacing w:after="0" w:line="16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30, 2024, filed with the SEC on November 7,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10.47</w:t>
            </w:r>
          </w:p>
        </w:tc>
        <w:tc>
          <w:tcPr>
            <w:tcW w:w="10140" w:type="dxa"/>
            <w:vAlign w:val="bottom"/>
            <w:gridSpan w:val="35"/>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Form of AMN Healthcare Equity Plan Performance Restricted Stock Unit Agreement - Executive (TSR) (Management Contract or</w:t>
              </w:r>
            </w:hyperlink>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16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Compensatory Plan or Arrangement) (Incorporated by reference to Exhibit 10.2 to the Registrant’s Quarterly Report on Form 10-Q</w:t>
              </w:r>
            </w:hyperlink>
          </w:p>
        </w:tc>
        <w:tc>
          <w:tcPr>
            <w:tcW w:w="980" w:type="dxa"/>
            <w:vAlign w:val="bottom"/>
            <w:gridSpan w:val="17"/>
          </w:tcPr>
          <w:p>
            <w:pPr>
              <w:ind w:left="60"/>
              <w:spacing w:after="0" w:line="150"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 the</w:t>
              </w:r>
            </w:hyperlink>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60" w:type="dxa"/>
            <w:vAlign w:val="bottom"/>
            <w:tcBorders>
              <w:top w:val="single" w:sz="8" w:color="0000FF"/>
              <w:bottom w:val="single" w:sz="8" w:color="0000FF"/>
            </w:tcBorders>
            <w:gridSpan w:val="13"/>
          </w:tcPr>
          <w:p>
            <w:pPr>
              <w:spacing w:after="0" w:line="16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quarter ended September 30, 2024, filed with the SEC on November 7, 2024).</w:t>
              </w:r>
            </w:hyperlink>
          </w:p>
        </w:tc>
        <w:tc>
          <w:tcPr>
            <w:tcW w:w="42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10.48</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Performance Restricted Stock Unit Agreement - Executive (TSR) (Management Contract or</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Compensatory Plan or Arrangement).*</w:t>
            </w:r>
          </w:p>
        </w:tc>
        <w:tc>
          <w:tcPr>
            <w:tcW w:w="644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10.49</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Performance Restricted Stock Unit Agreement - Non-Executive (TSR) (Management Contract or</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Compensatory Plan or Arrangement).*</w:t>
            </w:r>
          </w:p>
        </w:tc>
        <w:tc>
          <w:tcPr>
            <w:tcW w:w="6800" w:type="dxa"/>
            <w:vAlign w:val="bottom"/>
            <w:tcBorders>
              <w:top w:val="single" w:sz="8" w:color="0000FF"/>
            </w:tcBorders>
            <w:gridSpan w:val="19"/>
          </w:tcPr>
          <w:p>
            <w:pPr>
              <w:spacing w:after="0"/>
              <w:rPr>
                <w:sz w:val="13"/>
                <w:szCs w:val="13"/>
                <w:color w:val="auto"/>
              </w:rPr>
            </w:pPr>
          </w:p>
        </w:tc>
        <w:tc>
          <w:tcPr>
            <w:tcW w:w="1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10.50</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Restricted Stock Unit Agreement - Executive (Three Year Vesting with Settlement and Deferral)</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0" w:lineRule="exact"/>
              <w:rPr>
                <w:sz w:val="20"/>
                <w:szCs w:val="20"/>
                <w:color w:val="auto"/>
              </w:rPr>
            </w:pPr>
            <w:r>
              <w:rPr>
                <w:rFonts w:ascii="Times New Roman" w:cs="Times New Roman" w:eastAsia="Times New Roman" w:hAnsi="Times New Roman"/>
                <w:sz w:val="17"/>
                <w:szCs w:val="17"/>
                <w:color w:val="0000FF"/>
              </w:rPr>
              <w:t>(Management Contract or Compensatory Plan or Arrangement).*</w:t>
            </w:r>
          </w:p>
        </w:tc>
        <w:tc>
          <w:tcPr>
            <w:tcW w:w="18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10.51</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Restricted Stock Unit Agreement - Non-Executive (Three Years Vesting with Settlement and Deferral)</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tcBorders>
            <w:gridSpan w:val="30"/>
          </w:tcPr>
          <w:p>
            <w:pPr>
              <w:spacing w:after="0" w:line="150" w:lineRule="exact"/>
              <w:rPr>
                <w:sz w:val="20"/>
                <w:szCs w:val="20"/>
                <w:color w:val="auto"/>
              </w:rPr>
            </w:pPr>
            <w:r>
              <w:rPr>
                <w:rFonts w:ascii="Times New Roman" w:cs="Times New Roman" w:eastAsia="Times New Roman" w:hAnsi="Times New Roman"/>
                <w:sz w:val="17"/>
                <w:szCs w:val="17"/>
                <w:color w:val="0000FF"/>
              </w:rPr>
              <w:t>(Management Contract or Compensatory Plan or Arrangement).*</w:t>
            </w: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10.52</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Restricted Stock Unit Agreement - Non-Executive (One Year Vesting with Settlement and Deferral)</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0" w:lineRule="exact"/>
              <w:rPr>
                <w:sz w:val="20"/>
                <w:szCs w:val="20"/>
                <w:color w:val="auto"/>
              </w:rPr>
            </w:pPr>
            <w:r>
              <w:rPr>
                <w:rFonts w:ascii="Times New Roman" w:cs="Times New Roman" w:eastAsia="Times New Roman" w:hAnsi="Times New Roman"/>
                <w:sz w:val="17"/>
                <w:szCs w:val="17"/>
                <w:color w:val="0000FF"/>
              </w:rPr>
              <w:t>(Management Contract or Compensatory Plan or Arrangement).*</w:t>
            </w: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10.53</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Restricted Stock Unit Agreement - Non-Executive (Two Years Vesting with Settlement and Deferral)</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0" w:lineRule="exact"/>
              <w:rPr>
                <w:sz w:val="20"/>
                <w:szCs w:val="20"/>
                <w:color w:val="auto"/>
              </w:rPr>
            </w:pPr>
            <w:r>
              <w:rPr>
                <w:rFonts w:ascii="Times New Roman" w:cs="Times New Roman" w:eastAsia="Times New Roman" w:hAnsi="Times New Roman"/>
                <w:sz w:val="17"/>
                <w:szCs w:val="17"/>
                <w:color w:val="0000FF"/>
              </w:rPr>
              <w:t>(Management Contract or Compensatory Plan or Arrangement).*</w:t>
            </w: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10.54</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Performance Restricted Stock Unit Agreement - Executive (Adjusted EBITDA Growth) (Management</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7"/>
                <w:szCs w:val="17"/>
                <w:color w:val="0000FF"/>
              </w:rPr>
              <w:t>Contract or Compensatory Plan or Arrangement).*</w:t>
            </w:r>
          </w:p>
        </w:tc>
        <w:tc>
          <w:tcPr>
            <w:tcW w:w="6360" w:type="dxa"/>
            <w:vAlign w:val="bottom"/>
            <w:tcBorders>
              <w:top w:val="single" w:sz="8" w:color="0000FF"/>
            </w:tcBorders>
            <w:gridSpan w:val="28"/>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10.55</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Performance Restricted Stock Unit Agreement - Non-Executive (Adjusted EBITDA Growth)</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0" w:lineRule="exact"/>
              <w:rPr>
                <w:sz w:val="20"/>
                <w:szCs w:val="20"/>
                <w:color w:val="auto"/>
              </w:rPr>
            </w:pPr>
            <w:r>
              <w:rPr>
                <w:rFonts w:ascii="Times New Roman" w:cs="Times New Roman" w:eastAsia="Times New Roman" w:hAnsi="Times New Roman"/>
                <w:sz w:val="17"/>
                <w:szCs w:val="17"/>
                <w:color w:val="0000FF"/>
              </w:rPr>
              <w:t>(Management Contract or Compensatory Plan or Arrangement).*</w:t>
            </w:r>
          </w:p>
        </w:tc>
        <w:tc>
          <w:tcPr>
            <w:tcW w:w="600" w:type="dxa"/>
            <w:vAlign w:val="bottom"/>
            <w:gridSpan w:val="8"/>
          </w:tcPr>
          <w:p>
            <w:pPr>
              <w:spacing w:after="0"/>
              <w:rPr>
                <w:sz w:val="13"/>
                <w:szCs w:val="13"/>
                <w:color w:val="auto"/>
              </w:rPr>
            </w:pPr>
          </w:p>
        </w:tc>
        <w:tc>
          <w:tcPr>
            <w:tcW w:w="22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10.56</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Form of AMN Healthcare Equity Plan Performance Restricted Stock Unit Agreement - Non-Executive (Management Contract or</w:t>
            </w: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Compensatory Plan or Arrangement).*</w:t>
            </w:r>
          </w:p>
        </w:tc>
        <w:tc>
          <w:tcPr>
            <w:tcW w:w="6320" w:type="dxa"/>
            <w:vAlign w:val="bottom"/>
            <w:tcBorders>
              <w:top w:val="single" w:sz="8" w:color="0000FF"/>
            </w:tcBorders>
            <w:gridSpan w:val="15"/>
          </w:tcPr>
          <w:p>
            <w:pPr>
              <w:spacing w:after="0"/>
              <w:rPr>
                <w:sz w:val="13"/>
                <w:szCs w:val="13"/>
                <w:color w:val="auto"/>
              </w:rPr>
            </w:pPr>
          </w:p>
        </w:tc>
        <w:tc>
          <w:tcPr>
            <w:tcW w:w="800" w:type="dxa"/>
            <w:vAlign w:val="bottom"/>
            <w:gridSpan w:val="10"/>
          </w:tcPr>
          <w:p>
            <w:pPr>
              <w:spacing w:after="0"/>
              <w:rPr>
                <w:sz w:val="13"/>
                <w:szCs w:val="13"/>
                <w:color w:val="auto"/>
              </w:rPr>
            </w:pPr>
          </w:p>
        </w:tc>
        <w:tc>
          <w:tcPr>
            <w:tcW w:w="22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19.1</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AMN Healthcare Services, Inc. Securities Trading Policy.*</w:t>
            </w: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21.1</w:t>
            </w:r>
          </w:p>
        </w:tc>
        <w:tc>
          <w:tcPr>
            <w:tcW w:w="22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Subsidiaries of the Registrant.*</w:t>
            </w:r>
          </w:p>
        </w:tc>
        <w:tc>
          <w:tcPr>
            <w:tcW w:w="1920" w:type="dxa"/>
            <w:vAlign w:val="bottom"/>
            <w:tcBorders>
              <w:top w:val="single" w:sz="8" w:color="0000FF"/>
            </w:tcBorders>
            <w:gridSpan w:val="4"/>
          </w:tcPr>
          <w:p>
            <w:pPr>
              <w:spacing w:after="0"/>
              <w:rPr>
                <w:sz w:val="22"/>
                <w:szCs w:val="22"/>
                <w:color w:val="auto"/>
              </w:rPr>
            </w:pPr>
          </w:p>
        </w:tc>
        <w:tc>
          <w:tcPr>
            <w:tcW w:w="6020" w:type="dxa"/>
            <w:vAlign w:val="bottom"/>
            <w:gridSpan w:val="3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23.1</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31.1</w:t>
            </w:r>
          </w:p>
        </w:tc>
        <w:tc>
          <w:tcPr>
            <w:tcW w:w="7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by Caroline S. Grace pursuant to Rule 13a-14(a) of the Securities Exchange Act of 1934.*</w:t>
            </w:r>
          </w:p>
        </w:tc>
        <w:tc>
          <w:tcPr>
            <w:tcW w:w="2900" w:type="dxa"/>
            <w:vAlign w:val="bottom"/>
            <w:gridSpan w:val="19"/>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31.2</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Certification by Brian M. Scott pursuant to Rule 13a-14(a) of the Securities Exchange Act of 1934.*</w:t>
            </w: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4780" w:type="dxa"/>
            <w:vAlign w:val="bottom"/>
            <w:gridSpan w:val="10"/>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32.1</w:t>
            </w:r>
          </w:p>
        </w:tc>
        <w:tc>
          <w:tcPr>
            <w:tcW w:w="100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7"/>
                <w:szCs w:val="17"/>
                <w:color w:val="0000FF"/>
              </w:rPr>
              <w:t>Certification by Caroline S. Grace pursuant to 18 U.S.C. Section 1350, as adopted pursuant to Section 906 of the Sarbanes-Oxley Act of 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32.2</w:t>
            </w:r>
          </w:p>
        </w:tc>
        <w:tc>
          <w:tcPr>
            <w:tcW w:w="10140" w:type="dxa"/>
            <w:vAlign w:val="bottom"/>
            <w:gridSpan w:val="35"/>
          </w:tcPr>
          <w:p>
            <w:pPr>
              <w:spacing w:after="0"/>
              <w:rPr>
                <w:sz w:val="20"/>
                <w:szCs w:val="20"/>
                <w:color w:val="auto"/>
              </w:rPr>
            </w:pPr>
            <w:r>
              <w:rPr>
                <w:rFonts w:ascii="Times New Roman" w:cs="Times New Roman" w:eastAsia="Times New Roman" w:hAnsi="Times New Roman"/>
                <w:sz w:val="17"/>
                <w:szCs w:val="17"/>
                <w:color w:val="0000FF"/>
              </w:rPr>
              <w:t>Certification by Brian M. Scott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55"/>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97.1</w:t>
            </w:r>
          </w:p>
        </w:tc>
        <w:tc>
          <w:tcPr>
            <w:tcW w:w="98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7"/>
                <w:szCs w:val="17"/>
                <w:color w:val="0000FF"/>
              </w:rPr>
              <w:t>AMN Healthcare Services, Inc. Compensation Recoupment Policy.*</w:t>
            </w:r>
          </w:p>
        </w:tc>
        <w:tc>
          <w:tcPr>
            <w:tcW w:w="3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858"/>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tcBorders>
              <w:top w:val="single" w:sz="8" w:color="0000FF"/>
            </w:tcBorders>
            <w:gridSpan w:val="9"/>
          </w:tcPr>
          <w:p>
            <w:pPr>
              <w:ind w:left="4440"/>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80" w:type="dxa"/>
            <w:vAlign w:val="bottom"/>
          </w:tcPr>
          <w:p>
            <w:pPr>
              <w:spacing w:after="0"/>
              <w:rPr>
                <w:sz w:val="13"/>
                <w:szCs w:val="1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line="123"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2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1"/>
        </w:trPr>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101.INS</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75"/>
        </w:trPr>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101.SCH</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0" w:type="dxa"/>
            <w:vAlign w:val="bottom"/>
          </w:tcPr>
          <w:p>
            <w:pPr>
              <w:spacing w:after="0"/>
              <w:rPr>
                <w:sz w:val="1"/>
                <w:szCs w:val="1"/>
                <w:color w:val="auto"/>
              </w:rPr>
            </w:pPr>
          </w:p>
        </w:tc>
      </w:tr>
      <w:tr>
        <w:trPr>
          <w:trHeight w:val="275"/>
        </w:trPr>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101.CAL</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75"/>
        </w:trPr>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101.DEF</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75"/>
        </w:trPr>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101.LAB</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0" w:type="dxa"/>
            <w:vAlign w:val="bottom"/>
          </w:tcPr>
          <w:p>
            <w:pPr>
              <w:spacing w:after="0"/>
              <w:rPr>
                <w:sz w:val="1"/>
                <w:szCs w:val="1"/>
                <w:color w:val="auto"/>
              </w:rPr>
            </w:pPr>
          </w:p>
        </w:tc>
      </w:tr>
      <w:tr>
        <w:trPr>
          <w:trHeight w:val="275"/>
        </w:trPr>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101.PRE</w:t>
            </w:r>
          </w:p>
        </w:tc>
        <w:tc>
          <w:tcPr>
            <w:tcW w:w="5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100" w:hanging="404"/>
        <w:spacing w:after="0" w:line="248" w:lineRule="auto"/>
        <w:tabs>
          <w:tab w:leader="none" w:pos="11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from the Company’s Annual Report on Form 10-K for the year ended December 31, 2025 formatted as Inline XBRL and contained in Exhibit 101.</w:t>
      </w:r>
    </w:p>
    <w:p>
      <w:pPr>
        <w:spacing w:after="0" w:line="27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13823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1382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4"/>
          <w:szCs w:val="24"/>
          <w:b w:val="1"/>
          <w:bCs w:val="1"/>
          <w:color w:val="auto"/>
        </w:rPr>
        <w:t>Item 16.</w:t>
      </w:r>
      <w:r>
        <w:rPr>
          <w:sz w:val="20"/>
          <w:szCs w:val="20"/>
          <w:color w:val="auto"/>
        </w:rPr>
        <w:tab/>
      </w:r>
      <w:r>
        <w:rPr>
          <w:rFonts w:ascii="Times New Roman" w:cs="Times New Roman" w:eastAsia="Times New Roman" w:hAnsi="Times New Roman"/>
          <w:sz w:val="24"/>
          <w:szCs w:val="24"/>
          <w:b w:val="1"/>
          <w:bCs w:val="1"/>
          <w:i w:val="1"/>
          <w:iCs w:val="1"/>
          <w:color w:val="auto"/>
        </w:rPr>
        <w:t>Form 10-K Summary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SIGNATURES</w:t>
      </w:r>
    </w:p>
    <w:p>
      <w:pPr>
        <w:spacing w:after="0" w:line="192" w:lineRule="exact"/>
        <w:rPr>
          <w:sz w:val="20"/>
          <w:szCs w:val="20"/>
          <w:color w:val="auto"/>
        </w:rPr>
      </w:pPr>
    </w:p>
    <w:p>
      <w:pPr>
        <w:ind w:firstLine="433"/>
        <w:spacing w:after="0" w:line="281" w:lineRule="auto"/>
        <w:rPr>
          <w:sz w:val="20"/>
          <w:szCs w:val="20"/>
          <w:color w:val="auto"/>
        </w:rPr>
      </w:pPr>
      <w:r>
        <w:rPr>
          <w:rFonts w:ascii="Times New Roman" w:cs="Times New Roman" w:eastAsia="Times New Roman" w:hAnsi="Times New Roman"/>
          <w:sz w:val="17"/>
          <w:szCs w:val="17"/>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AMN HEALTHCARE SERVICES, INC.</w:t>
      </w:r>
    </w:p>
    <w:p>
      <w:pPr>
        <w:spacing w:after="0" w:line="187"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C</w:t>
      </w:r>
      <w:r>
        <w:rPr>
          <w:rFonts w:ascii="Times New Roman" w:cs="Times New Roman" w:eastAsia="Times New Roman" w:hAnsi="Times New Roman"/>
          <w:sz w:val="13"/>
          <w:szCs w:val="13"/>
          <w:color w:val="auto"/>
        </w:rPr>
        <w:t>AROLINE</w:t>
      </w:r>
      <w:r>
        <w:rPr>
          <w:rFonts w:ascii="Times New Roman" w:cs="Times New Roman" w:eastAsia="Times New Roman" w:hAnsi="Times New Roman"/>
          <w:sz w:val="17"/>
          <w:szCs w:val="17"/>
          <w:color w:val="auto"/>
        </w:rPr>
        <w:t xml:space="preserve"> S. G</w:t>
      </w:r>
      <w:r>
        <w:rPr>
          <w:rFonts w:ascii="Times New Roman" w:cs="Times New Roman" w:eastAsia="Times New Roman" w:hAnsi="Times New Roman"/>
          <w:sz w:val="13"/>
          <w:szCs w:val="13"/>
          <w:color w:val="auto"/>
        </w:rPr>
        <w:t>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7">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Caroline S. Grace</w:t>
      </w:r>
    </w:p>
    <w:p>
      <w:pPr>
        <w:spacing w:after="0" w:line="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19, 2026</w:t>
      </w:r>
    </w:p>
    <w:p>
      <w:pPr>
        <w:spacing w:after="0" w:line="200" w:lineRule="exact"/>
        <w:rPr>
          <w:sz w:val="20"/>
          <w:szCs w:val="20"/>
          <w:color w:val="auto"/>
        </w:rPr>
      </w:pPr>
    </w:p>
    <w:p>
      <w:pPr>
        <w:spacing w:after="0" w:line="206" w:lineRule="exact"/>
        <w:rPr>
          <w:sz w:val="20"/>
          <w:szCs w:val="20"/>
          <w:color w:val="auto"/>
        </w:rPr>
      </w:pPr>
    </w:p>
    <w:p>
      <w:pPr>
        <w:ind w:right="80" w:firstLine="433"/>
        <w:spacing w:after="0" w:line="282" w:lineRule="auto"/>
        <w:rPr>
          <w:sz w:val="20"/>
          <w:szCs w:val="20"/>
          <w:color w:val="auto"/>
        </w:rPr>
      </w:pPr>
      <w:r>
        <w:rPr>
          <w:rFonts w:ascii="Times New Roman" w:cs="Times New Roman" w:eastAsia="Times New Roman" w:hAnsi="Times New Roman"/>
          <w:sz w:val="17"/>
          <w:szCs w:val="17"/>
          <w:b w:val="1"/>
          <w:bCs w:val="1"/>
          <w:color w:val="auto"/>
        </w:rPr>
        <w:t>Pursuant to the requirements of the Securities Exchange Act of 1934, this report has been signed below by the following persons on behalf of the registrant and in the capacities indicated and on February 19, 2026.</w:t>
      </w:r>
    </w:p>
    <w:p>
      <w:pPr>
        <w:spacing w:after="0" w:line="2" w:lineRule="exact"/>
        <w:rPr>
          <w:sz w:val="20"/>
          <w:szCs w:val="20"/>
          <w:color w:val="auto"/>
        </w:rPr>
      </w:pPr>
    </w:p>
    <w:p>
      <w:pPr>
        <w:ind w:left="2400"/>
        <w:spacing w:after="0"/>
        <w:tabs>
          <w:tab w:leader="none" w:pos="274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C</w:t>
      </w:r>
      <w:r>
        <w:rPr>
          <w:rFonts w:ascii="Times New Roman" w:cs="Times New Roman" w:eastAsia="Times New Roman" w:hAnsi="Times New Roman"/>
          <w:sz w:val="13"/>
          <w:szCs w:val="13"/>
          <w:color w:val="auto"/>
        </w:rPr>
        <w:t>AROLINE</w:t>
      </w:r>
      <w:r>
        <w:rPr>
          <w:rFonts w:ascii="Times New Roman" w:cs="Times New Roman" w:eastAsia="Times New Roman" w:hAnsi="Times New Roman"/>
          <w:sz w:val="17"/>
          <w:szCs w:val="17"/>
          <w:color w:val="auto"/>
        </w:rPr>
        <w:t xml:space="preserve"> S. G</w:t>
      </w:r>
      <w:r>
        <w:rPr>
          <w:rFonts w:ascii="Times New Roman" w:cs="Times New Roman" w:eastAsia="Times New Roman" w:hAnsi="Times New Roman"/>
          <w:sz w:val="13"/>
          <w:szCs w:val="13"/>
          <w:color w:val="auto"/>
        </w:rPr>
        <w:t>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8">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Caroline S. Grace</w:t>
      </w:r>
    </w:p>
    <w:p>
      <w:pPr>
        <w:jc w:val="center"/>
        <w:ind w:right="4620"/>
        <w:spacing w:after="0" w:line="216" w:lineRule="auto"/>
        <w:rPr>
          <w:sz w:val="20"/>
          <w:szCs w:val="20"/>
          <w:color w:val="auto"/>
        </w:rPr>
      </w:pPr>
      <w:r>
        <w:rPr>
          <w:rFonts w:ascii="Times New Roman" w:cs="Times New Roman" w:eastAsia="Times New Roman" w:hAnsi="Times New Roman"/>
          <w:sz w:val="14"/>
          <w:szCs w:val="14"/>
          <w:b w:val="1"/>
          <w:bCs w:val="1"/>
          <w:color w:val="auto"/>
        </w:rPr>
        <w:t>Director, President and Chief Executive Officer</w:t>
      </w:r>
    </w:p>
    <w:p>
      <w:pPr>
        <w:spacing w:after="0" w:line="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68" w:lineRule="exact"/>
        <w:rPr>
          <w:sz w:val="20"/>
          <w:szCs w:val="20"/>
          <w:color w:val="auto"/>
        </w:rPr>
      </w:pPr>
    </w:p>
    <w:p>
      <w:pPr>
        <w:ind w:left="2540"/>
        <w:spacing w:after="0"/>
        <w:tabs>
          <w:tab w:leader="none" w:pos="286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B</w:t>
      </w:r>
      <w:r>
        <w:rPr>
          <w:rFonts w:ascii="Times New Roman" w:cs="Times New Roman" w:eastAsia="Times New Roman" w:hAnsi="Times New Roman"/>
          <w:sz w:val="13"/>
          <w:szCs w:val="13"/>
          <w:color w:val="auto"/>
        </w:rPr>
        <w:t>RIAN</w:t>
      </w:r>
      <w:r>
        <w:rPr>
          <w:rFonts w:ascii="Times New Roman" w:cs="Times New Roman" w:eastAsia="Times New Roman" w:hAnsi="Times New Roman"/>
          <w:sz w:val="17"/>
          <w:szCs w:val="17"/>
          <w:color w:val="auto"/>
        </w:rPr>
        <w:t xml:space="preserve"> M. S</w:t>
      </w:r>
      <w:r>
        <w:rPr>
          <w:rFonts w:ascii="Times New Roman" w:cs="Times New Roman" w:eastAsia="Times New Roman" w:hAnsi="Times New Roman"/>
          <w:sz w:val="13"/>
          <w:szCs w:val="13"/>
          <w:color w:val="auto"/>
        </w:rPr>
        <w: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9">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Brian M. Scott</w:t>
      </w:r>
    </w:p>
    <w:p>
      <w:pPr>
        <w:jc w:val="center"/>
        <w:ind w:right="4620"/>
        <w:spacing w:after="0" w:line="216" w:lineRule="auto"/>
        <w:rPr>
          <w:sz w:val="20"/>
          <w:szCs w:val="20"/>
          <w:color w:val="auto"/>
        </w:rPr>
      </w:pPr>
      <w:r>
        <w:rPr>
          <w:rFonts w:ascii="Times New Roman" w:cs="Times New Roman" w:eastAsia="Times New Roman" w:hAnsi="Times New Roman"/>
          <w:sz w:val="14"/>
          <w:szCs w:val="14"/>
          <w:b w:val="1"/>
          <w:bCs w:val="1"/>
          <w:color w:val="auto"/>
        </w:rPr>
        <w:t>Chief Financial Officer and Chief Operating Officer</w:t>
      </w:r>
    </w:p>
    <w:p>
      <w:pPr>
        <w:spacing w:after="0" w:line="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168" w:lineRule="exact"/>
        <w:rPr>
          <w:sz w:val="20"/>
          <w:szCs w:val="20"/>
          <w:color w:val="auto"/>
        </w:rPr>
      </w:pPr>
    </w:p>
    <w:p>
      <w:pPr>
        <w:ind w:left="2460"/>
        <w:spacing w:after="0"/>
        <w:tabs>
          <w:tab w:leader="none" w:pos="28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G. F</w:t>
      </w:r>
      <w:r>
        <w:rPr>
          <w:rFonts w:ascii="Times New Roman" w:cs="Times New Roman" w:eastAsia="Times New Roman" w:hAnsi="Times New Roman"/>
          <w:sz w:val="13"/>
          <w:szCs w:val="13"/>
          <w:color w:val="auto"/>
        </w:rPr>
        <w:t>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0">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Mark G. Foletta</w:t>
      </w:r>
    </w:p>
    <w:p>
      <w:pPr>
        <w:spacing w:after="0" w:line="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Director and Chairman of the Board</w:t>
      </w:r>
    </w:p>
    <w:p>
      <w:pPr>
        <w:spacing w:after="0" w:line="168" w:lineRule="exact"/>
        <w:rPr>
          <w:sz w:val="20"/>
          <w:szCs w:val="20"/>
          <w:color w:val="auto"/>
        </w:rPr>
      </w:pPr>
    </w:p>
    <w:p>
      <w:pPr>
        <w:ind w:left="2360"/>
        <w:spacing w:after="0"/>
        <w:tabs>
          <w:tab w:leader="none" w:pos="268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J</w:t>
      </w:r>
      <w:r>
        <w:rPr>
          <w:rFonts w:ascii="Times New Roman" w:cs="Times New Roman" w:eastAsia="Times New Roman" w:hAnsi="Times New Roman"/>
          <w:sz w:val="13"/>
          <w:szCs w:val="13"/>
          <w:color w:val="auto"/>
        </w:rPr>
        <w:t>ORGE</w:t>
      </w:r>
      <w:r>
        <w:rPr>
          <w:rFonts w:ascii="Times New Roman" w:cs="Times New Roman" w:eastAsia="Times New Roman" w:hAnsi="Times New Roman"/>
          <w:sz w:val="17"/>
          <w:szCs w:val="17"/>
          <w:color w:val="auto"/>
        </w:rPr>
        <w:t xml:space="preserve"> A. C</w:t>
      </w:r>
      <w:r>
        <w:rPr>
          <w:rFonts w:ascii="Times New Roman" w:cs="Times New Roman" w:eastAsia="Times New Roman" w:hAnsi="Times New Roman"/>
          <w:sz w:val="13"/>
          <w:szCs w:val="13"/>
          <w:color w:val="auto"/>
        </w:rPr>
        <w:t>ABALLERO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Jorge A. Caballero</w:t>
      </w:r>
    </w:p>
    <w:p>
      <w:pPr>
        <w:spacing w:after="0" w:line="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27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color w:val="auto"/>
              </w:rPr>
              <w:t>/S/</w:t>
            </w:r>
          </w:p>
        </w:tc>
        <w:tc>
          <w:tcPr>
            <w:tcW w:w="3840" w:type="dxa"/>
            <w:vAlign w:val="bottom"/>
            <w:tcBorders>
              <w:bottom w:val="single" w:sz="8" w:color="auto"/>
            </w:tcBorders>
          </w:tcPr>
          <w:p>
            <w:pPr>
              <w:jc w:val="center"/>
              <w:ind w:right="2264"/>
              <w:spacing w:after="0"/>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3"/>
                <w:szCs w:val="13"/>
                <w:color w:val="auto"/>
              </w:rPr>
              <w:t>ERI</w:t>
            </w:r>
            <w:r>
              <w:rPr>
                <w:rFonts w:ascii="Times New Roman" w:cs="Times New Roman" w:eastAsia="Times New Roman" w:hAnsi="Times New Roman"/>
                <w:sz w:val="17"/>
                <w:szCs w:val="17"/>
                <w:color w:val="auto"/>
              </w:rPr>
              <w:t xml:space="preserve"> G. F</w:t>
            </w:r>
            <w:r>
              <w:rPr>
                <w:rFonts w:ascii="Times New Roman" w:cs="Times New Roman" w:eastAsia="Times New Roman" w:hAnsi="Times New Roman"/>
                <w:sz w:val="13"/>
                <w:szCs w:val="13"/>
                <w:color w:val="auto"/>
              </w:rPr>
              <w:t>ONTENOT</w:t>
            </w:r>
          </w:p>
        </w:tc>
      </w:tr>
      <w:tr>
        <w:trPr>
          <w:trHeight w:val="133"/>
        </w:trPr>
        <w:tc>
          <w:tcPr>
            <w:tcW w:w="2700" w:type="dxa"/>
            <w:vAlign w:val="bottom"/>
          </w:tcPr>
          <w:p>
            <w:pPr>
              <w:spacing w:after="0"/>
              <w:rPr>
                <w:sz w:val="11"/>
                <w:szCs w:val="11"/>
                <w:color w:val="auto"/>
              </w:rPr>
            </w:pPr>
          </w:p>
        </w:tc>
        <w:tc>
          <w:tcPr>
            <w:tcW w:w="3840" w:type="dxa"/>
            <w:vAlign w:val="bottom"/>
          </w:tcPr>
          <w:p>
            <w:pPr>
              <w:jc w:val="center"/>
              <w:ind w:right="2624"/>
              <w:spacing w:after="0" w:line="133" w:lineRule="exact"/>
              <w:rPr>
                <w:sz w:val="20"/>
                <w:szCs w:val="20"/>
                <w:color w:val="auto"/>
              </w:rPr>
            </w:pPr>
            <w:r>
              <w:rPr>
                <w:rFonts w:ascii="Times New Roman" w:cs="Times New Roman" w:eastAsia="Times New Roman" w:hAnsi="Times New Roman"/>
                <w:sz w:val="14"/>
                <w:szCs w:val="14"/>
                <w:b w:val="1"/>
                <w:bCs w:val="1"/>
                <w:color w:val="auto"/>
                <w:w w:val="97"/>
              </w:rPr>
              <w:t>Teri G. Fontenot</w:t>
            </w:r>
          </w:p>
        </w:tc>
      </w:tr>
      <w:tr>
        <w:trPr>
          <w:trHeight w:val="185"/>
        </w:trPr>
        <w:tc>
          <w:tcPr>
            <w:tcW w:w="2700" w:type="dxa"/>
            <w:vAlign w:val="bottom"/>
          </w:tcPr>
          <w:p>
            <w:pPr>
              <w:spacing w:after="0"/>
              <w:rPr>
                <w:sz w:val="16"/>
                <w:szCs w:val="16"/>
                <w:color w:val="auto"/>
              </w:rPr>
            </w:pPr>
          </w:p>
        </w:tc>
        <w:tc>
          <w:tcPr>
            <w:tcW w:w="3840" w:type="dxa"/>
            <w:vAlign w:val="bottom"/>
          </w:tcPr>
          <w:p>
            <w:pPr>
              <w:jc w:val="center"/>
              <w:ind w:right="262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270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r>
          </w:p>
        </w:tc>
        <w:tc>
          <w:tcPr>
            <w:tcW w:w="3840" w:type="dxa"/>
            <w:vAlign w:val="bottom"/>
            <w:tcBorders>
              <w:bottom w:val="single" w:sz="8" w:color="auto"/>
            </w:tcBorders>
          </w:tcPr>
          <w:p>
            <w:pPr>
              <w:jc w:val="center"/>
              <w:ind w:right="2264"/>
              <w:spacing w:after="0"/>
              <w:rPr>
                <w:sz w:val="20"/>
                <w:szCs w:val="20"/>
                <w:color w:val="auto"/>
              </w:rPr>
            </w:pPr>
            <w:r>
              <w:rPr>
                <w:rFonts w:ascii="Times New Roman" w:cs="Times New Roman" w:eastAsia="Times New Roman" w:hAnsi="Times New Roman"/>
                <w:sz w:val="17"/>
                <w:szCs w:val="17"/>
                <w:color w:val="auto"/>
              </w:rPr>
              <w:t>R.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ARRIS</w:t>
            </w:r>
          </w:p>
        </w:tc>
      </w:tr>
      <w:tr>
        <w:trPr>
          <w:trHeight w:val="133"/>
        </w:trPr>
        <w:tc>
          <w:tcPr>
            <w:tcW w:w="2700" w:type="dxa"/>
            <w:vAlign w:val="bottom"/>
          </w:tcPr>
          <w:p>
            <w:pPr>
              <w:spacing w:after="0"/>
              <w:rPr>
                <w:sz w:val="11"/>
                <w:szCs w:val="11"/>
                <w:color w:val="auto"/>
              </w:rPr>
            </w:pPr>
          </w:p>
        </w:tc>
        <w:tc>
          <w:tcPr>
            <w:tcW w:w="3840" w:type="dxa"/>
            <w:vAlign w:val="bottom"/>
          </w:tcPr>
          <w:p>
            <w:pPr>
              <w:jc w:val="center"/>
              <w:ind w:right="2624"/>
              <w:spacing w:after="0" w:line="133" w:lineRule="exact"/>
              <w:rPr>
                <w:sz w:val="20"/>
                <w:szCs w:val="20"/>
                <w:color w:val="auto"/>
              </w:rPr>
            </w:pPr>
            <w:r>
              <w:rPr>
                <w:rFonts w:ascii="Times New Roman" w:cs="Times New Roman" w:eastAsia="Times New Roman" w:hAnsi="Times New Roman"/>
                <w:sz w:val="14"/>
                <w:szCs w:val="14"/>
                <w:b w:val="1"/>
                <w:bCs w:val="1"/>
                <w:color w:val="auto"/>
                <w:w w:val="99"/>
              </w:rPr>
              <w:t>R. Jeffrey Harris</w:t>
            </w:r>
          </w:p>
        </w:tc>
      </w:tr>
      <w:tr>
        <w:trPr>
          <w:trHeight w:val="185"/>
        </w:trPr>
        <w:tc>
          <w:tcPr>
            <w:tcW w:w="2700" w:type="dxa"/>
            <w:vAlign w:val="bottom"/>
          </w:tcPr>
          <w:p>
            <w:pPr>
              <w:spacing w:after="0"/>
              <w:rPr>
                <w:sz w:val="16"/>
                <w:szCs w:val="16"/>
                <w:color w:val="auto"/>
              </w:rPr>
            </w:pPr>
          </w:p>
        </w:tc>
        <w:tc>
          <w:tcPr>
            <w:tcW w:w="3840" w:type="dxa"/>
            <w:vAlign w:val="bottom"/>
          </w:tcPr>
          <w:p>
            <w:pPr>
              <w:jc w:val="center"/>
              <w:ind w:right="262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27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7"/>
                <w:szCs w:val="17"/>
                <w:color w:val="auto"/>
              </w:rPr>
              <w:t>/S/</w:t>
            </w:r>
          </w:p>
        </w:tc>
        <w:tc>
          <w:tcPr>
            <w:tcW w:w="3840" w:type="dxa"/>
            <w:vAlign w:val="bottom"/>
            <w:tcBorders>
              <w:bottom w:val="single" w:sz="8" w:color="auto"/>
            </w:tcBorders>
          </w:tcPr>
          <w:p>
            <w:pPr>
              <w:jc w:val="center"/>
              <w:ind w:right="2244"/>
              <w:spacing w:after="0"/>
              <w:rPr>
                <w:sz w:val="20"/>
                <w:szCs w:val="20"/>
                <w:color w:val="auto"/>
              </w:rPr>
            </w:pPr>
            <w:r>
              <w:rPr>
                <w:rFonts w:ascii="Times New Roman" w:cs="Times New Roman" w:eastAsia="Times New Roman" w:hAnsi="Times New Roman"/>
                <w:sz w:val="17"/>
                <w:szCs w:val="17"/>
                <w:color w:val="auto"/>
              </w:rPr>
              <w:t>J</w:t>
            </w:r>
            <w:r>
              <w:rPr>
                <w:rFonts w:ascii="Times New Roman" w:cs="Times New Roman" w:eastAsia="Times New Roman" w:hAnsi="Times New Roman"/>
                <w:sz w:val="13"/>
                <w:szCs w:val="13"/>
                <w:color w:val="auto"/>
              </w:rPr>
              <w:t>AMES</w:t>
            </w:r>
            <w:r>
              <w:rPr>
                <w:rFonts w:ascii="Times New Roman" w:cs="Times New Roman" w:eastAsia="Times New Roman" w:hAnsi="Times New Roman"/>
                <w:sz w:val="17"/>
                <w:szCs w:val="17"/>
                <w:color w:val="auto"/>
              </w:rPr>
              <w:t xml:space="preserve"> H. H</w:t>
            </w:r>
            <w:r>
              <w:rPr>
                <w:rFonts w:ascii="Times New Roman" w:cs="Times New Roman" w:eastAsia="Times New Roman" w:hAnsi="Times New Roman"/>
                <w:sz w:val="13"/>
                <w:szCs w:val="13"/>
                <w:color w:val="auto"/>
              </w:rPr>
              <w:t>INTON</w:t>
            </w:r>
          </w:p>
        </w:tc>
      </w:tr>
      <w:tr>
        <w:trPr>
          <w:trHeight w:val="133"/>
        </w:trPr>
        <w:tc>
          <w:tcPr>
            <w:tcW w:w="2700" w:type="dxa"/>
            <w:vAlign w:val="bottom"/>
          </w:tcPr>
          <w:p>
            <w:pPr>
              <w:spacing w:after="0"/>
              <w:rPr>
                <w:sz w:val="11"/>
                <w:szCs w:val="11"/>
                <w:color w:val="auto"/>
              </w:rPr>
            </w:pPr>
          </w:p>
        </w:tc>
        <w:tc>
          <w:tcPr>
            <w:tcW w:w="3840" w:type="dxa"/>
            <w:vAlign w:val="bottom"/>
          </w:tcPr>
          <w:p>
            <w:pPr>
              <w:jc w:val="center"/>
              <w:ind w:right="2624"/>
              <w:spacing w:after="0" w:line="133" w:lineRule="exact"/>
              <w:rPr>
                <w:sz w:val="20"/>
                <w:szCs w:val="20"/>
                <w:color w:val="auto"/>
              </w:rPr>
            </w:pPr>
            <w:r>
              <w:rPr>
                <w:rFonts w:ascii="Times New Roman" w:cs="Times New Roman" w:eastAsia="Times New Roman" w:hAnsi="Times New Roman"/>
                <w:sz w:val="14"/>
                <w:szCs w:val="14"/>
                <w:b w:val="1"/>
                <w:bCs w:val="1"/>
                <w:color w:val="auto"/>
              </w:rPr>
              <w:t>James H. Hinton</w:t>
            </w:r>
          </w:p>
        </w:tc>
      </w:tr>
      <w:tr>
        <w:trPr>
          <w:trHeight w:val="185"/>
        </w:trPr>
        <w:tc>
          <w:tcPr>
            <w:tcW w:w="2700" w:type="dxa"/>
            <w:vAlign w:val="bottom"/>
          </w:tcPr>
          <w:p>
            <w:pPr>
              <w:spacing w:after="0"/>
              <w:rPr>
                <w:sz w:val="16"/>
                <w:szCs w:val="16"/>
                <w:color w:val="auto"/>
              </w:rPr>
            </w:pPr>
          </w:p>
        </w:tc>
        <w:tc>
          <w:tcPr>
            <w:tcW w:w="3840" w:type="dxa"/>
            <w:vAlign w:val="bottom"/>
          </w:tcPr>
          <w:p>
            <w:pPr>
              <w:jc w:val="center"/>
              <w:ind w:right="262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397"/>
        </w:trPr>
        <w:tc>
          <w:tcPr>
            <w:tcW w:w="27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7"/>
                <w:szCs w:val="17"/>
                <w:color w:val="auto"/>
              </w:rPr>
              <w:t>/S/</w:t>
            </w:r>
          </w:p>
        </w:tc>
        <w:tc>
          <w:tcPr>
            <w:tcW w:w="3840" w:type="dxa"/>
            <w:vAlign w:val="bottom"/>
            <w:tcBorders>
              <w:bottom w:val="single" w:sz="8" w:color="auto"/>
            </w:tcBorders>
          </w:tcPr>
          <w:p>
            <w:pPr>
              <w:jc w:val="center"/>
              <w:ind w:right="2264"/>
              <w:spacing w:after="0"/>
              <w:rPr>
                <w:sz w:val="20"/>
                <w:szCs w:val="20"/>
                <w:color w:val="auto"/>
              </w:rPr>
            </w:pPr>
            <w:r>
              <w:rPr>
                <w:rFonts w:ascii="Times New Roman" w:cs="Times New Roman" w:eastAsia="Times New Roman" w:hAnsi="Times New Roman"/>
                <w:sz w:val="17"/>
                <w:szCs w:val="17"/>
                <w:color w:val="auto"/>
              </w:rPr>
              <w:t>D</w:t>
            </w:r>
            <w:r>
              <w:rPr>
                <w:rFonts w:ascii="Times New Roman" w:cs="Times New Roman" w:eastAsia="Times New Roman" w:hAnsi="Times New Roman"/>
                <w:sz w:val="13"/>
                <w:szCs w:val="13"/>
                <w:color w:val="auto"/>
              </w:rPr>
              <w:t>APHNE</w:t>
            </w:r>
            <w:r>
              <w:rPr>
                <w:rFonts w:ascii="Times New Roman" w:cs="Times New Roman" w:eastAsia="Times New Roman" w:hAnsi="Times New Roman"/>
                <w:sz w:val="17"/>
                <w:szCs w:val="17"/>
                <w:color w:val="auto"/>
              </w:rPr>
              <w:t xml:space="preserve"> E. J</w:t>
            </w:r>
            <w:r>
              <w:rPr>
                <w:rFonts w:ascii="Times New Roman" w:cs="Times New Roman" w:eastAsia="Times New Roman" w:hAnsi="Times New Roman"/>
                <w:sz w:val="13"/>
                <w:szCs w:val="13"/>
                <w:color w:val="auto"/>
              </w:rPr>
              <w:t>ONES</w:t>
            </w:r>
          </w:p>
        </w:tc>
      </w:tr>
      <w:tr>
        <w:trPr>
          <w:trHeight w:val="133"/>
        </w:trPr>
        <w:tc>
          <w:tcPr>
            <w:tcW w:w="2700" w:type="dxa"/>
            <w:vAlign w:val="bottom"/>
          </w:tcPr>
          <w:p>
            <w:pPr>
              <w:spacing w:after="0"/>
              <w:rPr>
                <w:sz w:val="11"/>
                <w:szCs w:val="11"/>
                <w:color w:val="auto"/>
              </w:rPr>
            </w:pPr>
          </w:p>
        </w:tc>
        <w:tc>
          <w:tcPr>
            <w:tcW w:w="3840" w:type="dxa"/>
            <w:vAlign w:val="bottom"/>
          </w:tcPr>
          <w:p>
            <w:pPr>
              <w:jc w:val="center"/>
              <w:ind w:right="2604"/>
              <w:spacing w:after="0" w:line="133" w:lineRule="exact"/>
              <w:rPr>
                <w:sz w:val="20"/>
                <w:szCs w:val="20"/>
                <w:color w:val="auto"/>
              </w:rPr>
            </w:pPr>
            <w:r>
              <w:rPr>
                <w:rFonts w:ascii="Times New Roman" w:cs="Times New Roman" w:eastAsia="Times New Roman" w:hAnsi="Times New Roman"/>
                <w:sz w:val="14"/>
                <w:szCs w:val="14"/>
                <w:b w:val="1"/>
                <w:bCs w:val="1"/>
                <w:color w:val="auto"/>
                <w:w w:val="99"/>
              </w:rPr>
              <w:t>Daphne E. Jones</w:t>
            </w:r>
          </w:p>
        </w:tc>
      </w:tr>
      <w:tr>
        <w:trPr>
          <w:trHeight w:val="185"/>
        </w:trPr>
        <w:tc>
          <w:tcPr>
            <w:tcW w:w="2700" w:type="dxa"/>
            <w:vAlign w:val="bottom"/>
          </w:tcPr>
          <w:p>
            <w:pPr>
              <w:spacing w:after="0"/>
              <w:rPr>
                <w:sz w:val="16"/>
                <w:szCs w:val="16"/>
                <w:color w:val="auto"/>
              </w:rPr>
            </w:pPr>
          </w:p>
        </w:tc>
        <w:tc>
          <w:tcPr>
            <w:tcW w:w="3840" w:type="dxa"/>
            <w:vAlign w:val="bottom"/>
          </w:tcPr>
          <w:p>
            <w:pPr>
              <w:jc w:val="center"/>
              <w:ind w:right="2624"/>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bl>
    <w:p>
      <w:pPr>
        <w:spacing w:after="0" w:line="163" w:lineRule="exact"/>
        <w:rPr>
          <w:sz w:val="20"/>
          <w:szCs w:val="20"/>
          <w:color w:val="auto"/>
        </w:rPr>
      </w:pPr>
    </w:p>
    <w:p>
      <w:pPr>
        <w:ind w:left="2340"/>
        <w:spacing w:after="0"/>
        <w:tabs>
          <w:tab w:leader="none" w:pos="266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S</w:t>
      </w:r>
      <w:r>
        <w:rPr>
          <w:rFonts w:ascii="Times New Roman" w:cs="Times New Roman" w:eastAsia="Times New Roman" w:hAnsi="Times New Roman"/>
          <w:sz w:val="13"/>
          <w:szCs w:val="13"/>
          <w:color w:val="auto"/>
        </w:rPr>
        <w:t>YLVIA</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3"/>
          <w:szCs w:val="13"/>
          <w:color w:val="auto"/>
        </w:rPr>
        <w:t>RENT-</w:t>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2">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Sylvia Trent-Adams</w:t>
      </w:r>
    </w:p>
    <w:p>
      <w:pPr>
        <w:spacing w:after="0" w:line="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68" w:lineRule="exact"/>
        <w:rPr>
          <w:sz w:val="20"/>
          <w:szCs w:val="20"/>
          <w:color w:val="auto"/>
        </w:rPr>
      </w:pPr>
    </w:p>
    <w:p>
      <w:pPr>
        <w:jc w:val="center"/>
        <w:ind w:right="4620"/>
        <w:spacing w:after="0"/>
        <w:tabs>
          <w:tab w:leader="none" w:pos="14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CELIA P.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29210</wp:posOffset>
            </wp:positionV>
            <wp:extent cx="41554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3">
                      <a:extLst>
                        <a:ext uri="{28A0092B-C50C-407E-A947-70E740481C1C}"/>
                      </a:extLst>
                    </a:blip>
                    <a:srcRect/>
                    <a:stretch>
                      <a:fillRect/>
                    </a:stretch>
                  </pic:blipFill>
                  <pic:spPr bwMode="auto">
                    <a:xfrm>
                      <a:off x="0" y="0"/>
                      <a:ext cx="4155440" cy="8255"/>
                    </a:xfrm>
                    <a:prstGeom prst="rect">
                      <a:avLst/>
                    </a:prstGeom>
                    <a:noFill/>
                  </pic:spPr>
                </pic:pic>
              </a:graphicData>
            </a:graphic>
          </wp:anchor>
        </w:drawing>
      </w:r>
    </w:p>
    <w:p>
      <w:pPr>
        <w:spacing w:after="0" w:line="28"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Celia P. Huber</w:t>
      </w:r>
    </w:p>
    <w:p>
      <w:pPr>
        <w:spacing w:after="0" w:line="1"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RESTRICTED STOCK UNIT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(TOTAL SHAREHOLDER RETURN)</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w:t>
      </w: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-75565</wp:posOffset>
            </wp:positionV>
            <wp:extent cx="165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  </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8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PERFORMANCE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1259"/>
        <w:spacing w:after="0" w:line="254"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58"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28" w:lineRule="exact"/>
        <w:rPr>
          <w:sz w:val="20"/>
          <w:szCs w:val="20"/>
          <w:color w:val="auto"/>
        </w:rPr>
      </w:pPr>
    </w:p>
    <w:p>
      <w:pPr>
        <w:ind w:left="1900" w:hanging="321"/>
        <w:spacing w:after="0"/>
        <w:tabs>
          <w:tab w:leader="none" w:pos="1900"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21" w:lineRule="auto"/>
        <w:tabs>
          <w:tab w:leader="none" w:pos="251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Accumulated Shares</w:t>
      </w:r>
      <w:r>
        <w:rPr>
          <w:rFonts w:ascii="Times New Roman" w:cs="Times New Roman" w:eastAsia="Times New Roman" w:hAnsi="Times New Roman"/>
          <w:sz w:val="21"/>
          <w:szCs w:val="21"/>
          <w:color w:val="auto"/>
        </w:rPr>
        <w:t>” means, for a given day, and for a given Peer Company or the Company, the sum of (i) one share of common stock of the applicable company (as included on the Russell 2000), plus (ii) a cumulative number of shares of common stock purchased with dividends declared on the common stock, assuming same day reinvestment of the dividends into shares of common stock at the closing price on the ex-dividend date, for ex-dividend dates during the Opening Average Period or for the period between January 1, 2026 and the last day of the Closing Average Period, as the case may be.</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6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(i) the definition of “cause” provided in the employment or severance agreement in effect between the Grantee and the Company or any Affiliate or (ii) if no such agreement exists, then the occurrence of any of the following: (A) Grantee’s failure to perform in any material respect his or her duties as an employee of the Company, (B) Grantee’s violation of the Company’s Code of Business Conduct, Code of Ethics for Senior Financial Officers and Principal Executive Officer, and/or Securities Trading Policy, (C) the engaging by Grantee in willful misconduct or gross negligence which is injurious to the Company or any of its affiliates, monetarily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64" w:lineRule="exact"/>
        <w:rPr>
          <w:sz w:val="20"/>
          <w:szCs w:val="20"/>
          <w:color w:val="auto"/>
        </w:rPr>
      </w:pPr>
    </w:p>
    <w:p>
      <w:pPr>
        <w:jc w:val="both"/>
        <w:ind w:firstLine="5"/>
        <w:spacing w:after="0" w:line="224" w:lineRule="auto"/>
        <w:tabs>
          <w:tab w:leader="none" w:pos="3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commission by the Grantee of an act of fraud or embezzlement against the Company or any of its affiliates, (E) the conviction of the Grantee of a crime which constitutes a felony or any lesser crime that involves Company property or a pleading of guilty or nolo contendere with respect to a crime which constitutes a felony or any lesser crime that involves Company property, or (F) violation of any of the restrictive covenants in Section 9 hereof.</w:t>
      </w:r>
    </w:p>
    <w:p>
      <w:pPr>
        <w:spacing w:after="0" w:line="147"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3" w:lineRule="auto"/>
        <w:tabs>
          <w:tab w:leader="none" w:pos="3147"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55"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occurrence of either of the following events during the Protection Period: (i) the Company’s termination of the Grantee’s Service without Cause (other than due to death or Disability) or (ii) the Grantee’s termination of his or her Service with Good Reason at a time when the Grantee could not have been terminated for Cause.</w:t>
      </w:r>
    </w:p>
    <w:p>
      <w:pPr>
        <w:spacing w:after="0" w:line="139" w:lineRule="exact"/>
        <w:rPr>
          <w:rFonts w:ascii="Times New Roman" w:cs="Times New Roman" w:eastAsia="Times New Roman" w:hAnsi="Times New Roman"/>
          <w:sz w:val="21"/>
          <w:szCs w:val="21"/>
          <w:color w:val="auto"/>
        </w:rPr>
      </w:pPr>
    </w:p>
    <w:p>
      <w:pPr>
        <w:ind w:left="2580" w:hanging="687"/>
        <w:spacing w:after="0"/>
        <w:tabs>
          <w:tab w:leader="none" w:pos="25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Average Period</w:t>
      </w:r>
      <w:r>
        <w:rPr>
          <w:rFonts w:ascii="Times New Roman" w:cs="Times New Roman" w:eastAsia="Times New Roman" w:hAnsi="Times New Roman"/>
          <w:sz w:val="21"/>
          <w:szCs w:val="21"/>
          <w:color w:val="auto"/>
        </w:rPr>
        <w:t>” means the ninety (90)-day period ending on the last day of the Performance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w:t>
      </w:r>
    </w:p>
    <w:p>
      <w:pPr>
        <w:spacing w:after="0" w:line="15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Average Share Value</w:t>
      </w:r>
      <w:r>
        <w:rPr>
          <w:rFonts w:ascii="Times New Roman" w:cs="Times New Roman" w:eastAsia="Times New Roman" w:hAnsi="Times New Roman"/>
          <w:sz w:val="21"/>
          <w:szCs w:val="21"/>
          <w:color w:val="auto"/>
        </w:rPr>
        <w:t>” means, for each of the Peer Companies and the Company, the average, over the days in the Closing Average Period, of the closing price of its common stock multiplied by the Accumulated Shares for each day during the Closing Average Period.</w:t>
      </w:r>
    </w:p>
    <w:p>
      <w:pPr>
        <w:spacing w:after="0" w:line="144" w:lineRule="exact"/>
        <w:rPr>
          <w:rFonts w:ascii="Times New Roman" w:cs="Times New Roman" w:eastAsia="Times New Roman" w:hAnsi="Times New Roman"/>
          <w:sz w:val="21"/>
          <w:szCs w:val="21"/>
          <w:color w:val="auto"/>
        </w:rPr>
      </w:pPr>
    </w:p>
    <w:p>
      <w:pPr>
        <w:ind w:left="2580" w:hanging="687"/>
        <w:spacing w:after="0"/>
        <w:tabs>
          <w:tab w:leader="none" w:pos="25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jc w:val="both"/>
        <w:ind w:firstLine="1893"/>
        <w:spacing w:after="0" w:line="217" w:lineRule="auto"/>
        <w:tabs>
          <w:tab w:leader="none" w:pos="2506"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(i) the definition of “good reason” provided in the employment or severance agreement in effect between the Grantee and the Company or any Affiliate or (ii) if no such agreement exists, then the occurrence of any of the following events without the Grantee’s express written consent: (A) a material reduction in the Grantee’s base salary or target annual bonus compensation as in effect on the date immediately prior to a Change in Control, (B) the Company’s assignment to the Grantee without the Grantee’s consent of duties materially and adversely inconsistent with the Grantee’s position, duties or responsibilities as in effect immediately before the Change in Control, including, but not limited to, any material reduction in such position, duties or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6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responsibilities, or a change in the Grantee’s title or office, as then in effect, or any removal of the Grantee from any of such positions, titles or offices, or (C) the Company’s relocation of the Grantee’s principal place of employment to a locale that is more than fifty (50) miles from the Grantee’s principal place of employment immediately prior to the Change in Control.</w:t>
      </w:r>
    </w:p>
    <w:p>
      <w:pPr>
        <w:spacing w:after="0" w:line="145" w:lineRule="exact"/>
        <w:rPr>
          <w:sz w:val="20"/>
          <w:szCs w:val="20"/>
          <w:color w:val="auto"/>
        </w:rPr>
      </w:pPr>
    </w:p>
    <w:p>
      <w:pPr>
        <w:ind w:left="2520" w:hanging="627"/>
        <w:spacing w:after="0"/>
        <w:tabs>
          <w:tab w:leader="none" w:pos="25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PSU grant as set forth above.</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Opening Average Period</w:t>
      </w:r>
      <w:r>
        <w:rPr>
          <w:rFonts w:ascii="Times New Roman" w:cs="Times New Roman" w:eastAsia="Times New Roman" w:hAnsi="Times New Roman"/>
          <w:sz w:val="21"/>
          <w:szCs w:val="21"/>
          <w:color w:val="auto"/>
        </w:rPr>
        <w:t>” means the ninety (90)-day period ended on December 31, 2025.</w:t>
      </w:r>
    </w:p>
    <w:p>
      <w:pPr>
        <w:spacing w:after="0" w:line="178"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5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Opening Average Share Value</w:t>
      </w:r>
      <w:r>
        <w:rPr>
          <w:rFonts w:ascii="Times New Roman" w:cs="Times New Roman" w:eastAsia="Times New Roman" w:hAnsi="Times New Roman"/>
          <w:sz w:val="21"/>
          <w:szCs w:val="21"/>
          <w:color w:val="auto"/>
        </w:rPr>
        <w:t>” means, for each of the Peer Companies and the Company, the average during the Opening Average Period of the closing price of its common stock multiplied by the Accumulated Shares for each trading day during the Opening Average Period.</w:t>
      </w:r>
    </w:p>
    <w:p>
      <w:pPr>
        <w:spacing w:after="0" w:line="144" w:lineRule="exact"/>
        <w:rPr>
          <w:rFonts w:ascii="Times New Roman" w:cs="Times New Roman" w:eastAsia="Times New Roman" w:hAnsi="Times New Roman"/>
          <w:sz w:val="21"/>
          <w:szCs w:val="21"/>
          <w:color w:val="auto"/>
        </w:rPr>
      </w:pPr>
    </w:p>
    <w:p>
      <w:pPr>
        <w:jc w:val="both"/>
        <w:ind w:firstLine="1893"/>
        <w:spacing w:after="0" w:line="215" w:lineRule="auto"/>
        <w:tabs>
          <w:tab w:leader="none" w:pos="251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Peer Companies</w:t>
      </w:r>
      <w:r>
        <w:rPr>
          <w:rFonts w:ascii="Times New Roman" w:cs="Times New Roman" w:eastAsia="Times New Roman" w:hAnsi="Times New Roman"/>
          <w:sz w:val="21"/>
          <w:szCs w:val="21"/>
          <w:color w:val="auto"/>
        </w:rPr>
        <w:t>” means the companies included in the Russell 2000 on December 31, 2025. In the event of a merger, acquisition or business combination transaction of a Peer Company with or by another Peer Company, the surviving entity shall remain a Peer Company. 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 In the event of a merger or acquisition or business combination transaction of a Peer Company by or with an entity that is not a Peer Company, a “going private” transaction involving a Peer Company or the liquidation of a Peer Company, where the Peer Company is not the surviving entity or is otherwise no longer publicly traded, the company shall no longer be a Peer Company. In the event of a bankruptcy of a Peer Company, such company shall remain a Peer Company.</w:t>
      </w:r>
    </w:p>
    <w:p>
      <w:pPr>
        <w:spacing w:after="0" w:line="4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January 1, 2026 through December 31, 2028.</w:t>
      </w:r>
    </w:p>
    <w:p>
      <w:pPr>
        <w:spacing w:after="0" w:line="170"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means the performance restricted stock units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under Section 2.</w:t>
      </w:r>
    </w:p>
    <w:p>
      <w:pPr>
        <w:spacing w:after="0" w:line="154"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Relative Total Shareholder Return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Relative TSR</w:t>
      </w:r>
      <w:r>
        <w:rPr>
          <w:rFonts w:ascii="Times New Roman" w:cs="Times New Roman" w:eastAsia="Times New Roman" w:hAnsi="Times New Roman"/>
          <w:sz w:val="21"/>
          <w:szCs w:val="21"/>
          <w:color w:val="auto"/>
        </w:rPr>
        <w:t>” means the Company’s TSR relative to the TSR of the Peer Companies. Following the calculation of the TSR of the Company and each Peer Company for the Performance Period, the Company and each Peer Company will be ranked in order of maximum to minimum according to their respective TSR for the Performance Period. After this ranking, the percentile performance of the Company relative to the Peer Companies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118745</wp:posOffset>
            </wp:positionV>
            <wp:extent cx="741045" cy="341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741045"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line="293" w:lineRule="auto"/>
        <w:rPr>
          <w:sz w:val="20"/>
          <w:szCs w:val="20"/>
          <w:color w:val="auto"/>
        </w:rPr>
      </w:pPr>
      <w:r>
        <w:rPr>
          <w:rFonts w:ascii="Times New Roman" w:cs="Times New Roman" w:eastAsia="Times New Roman" w:hAnsi="Times New Roman"/>
          <w:sz w:val="21"/>
          <w:szCs w:val="21"/>
          <w:color w:val="auto"/>
        </w:rPr>
        <w:t>where: “P” represents the percentile performance, which will be rounded, if necessary, to the nearest half percentile by application of standard scientific rounding conventions.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“N” represents the number of Peer Companies, plus one (i.e., the Company).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“R” represents the Company’s ranking versus the Peer Companies.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Example: </w:t>
      </w:r>
      <w:r>
        <w:rPr>
          <w:rFonts w:ascii="Times New Roman" w:cs="Times New Roman" w:eastAsia="Times New Roman" w:hAnsi="Times New Roman"/>
          <w:sz w:val="21"/>
          <w:szCs w:val="21"/>
          <w:color w:val="auto"/>
        </w:rPr>
        <w:t>If there are 1000 Peer Companies, and the Company ranked 501st out of 1001 (i.e., 1000 Peer Companies,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plus the Company), the performance would be at the 50th percentile: .50 = 1 – ((501-1)/(1001-1)).</w:t>
      </w:r>
    </w:p>
    <w:p>
      <w:pPr>
        <w:spacing w:after="0" w:line="167" w:lineRule="exact"/>
        <w:rPr>
          <w:sz w:val="20"/>
          <w:szCs w:val="20"/>
          <w:color w:val="auto"/>
        </w:rPr>
      </w:pPr>
    </w:p>
    <w:p>
      <w:pPr>
        <w:jc w:val="both"/>
        <w:ind w:firstLine="1893"/>
        <w:spacing w:after="0" w:line="224" w:lineRule="auto"/>
        <w:tabs>
          <w:tab w:leader="none" w:pos="2516"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(other than for Cause or due to a Change in Control Termination)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3"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Shareholder Return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means for each of the Company and the Peer Companies, the company’s total shareholder return, which will be calculated by dividing (i) the Closing Average Share Value by (ii) the Opening Average Share Value, and then subtracting one (1).</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means the date on which the Committee determines the TSR and Relative TSR.</w:t>
      </w:r>
    </w:p>
    <w:p>
      <w:pPr>
        <w:spacing w:after="0" w:line="174"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Performance Restricted Stock Units</w:t>
      </w:r>
      <w:r>
        <w:rPr>
          <w:rFonts w:ascii="Times New Roman" w:cs="Times New Roman" w:eastAsia="Times New Roman" w:hAnsi="Times New Roman"/>
          <w:sz w:val="21"/>
          <w:szCs w:val="21"/>
          <w:color w:val="auto"/>
        </w:rPr>
        <w:t>. Subject to the terms and conditions set forth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hereby grants to the Grantee PRSUs, which shall be the target number. The actual number of PRSUs that can vest may be more or less than the target number, as determined in accordance with the table (the “</w:t>
      </w:r>
      <w:r>
        <w:rPr>
          <w:rFonts w:ascii="Times New Roman" w:cs="Times New Roman" w:eastAsia="Times New Roman" w:hAnsi="Times New Roman"/>
          <w:sz w:val="21"/>
          <w:szCs w:val="21"/>
          <w:u w:val="single" w:color="auto"/>
          <w:color w:val="auto"/>
        </w:rPr>
        <w:t>Vesting Table</w:t>
      </w:r>
      <w:r>
        <w:rPr>
          <w:rFonts w:ascii="Times New Roman" w:cs="Times New Roman" w:eastAsia="Times New Roman" w:hAnsi="Times New Roman"/>
          <w:sz w:val="21"/>
          <w:szCs w:val="21"/>
          <w:color w:val="auto"/>
        </w:rPr>
        <w:t>”) set forth on Schedule I.</w:t>
      </w:r>
    </w:p>
    <w:p>
      <w:pPr>
        <w:spacing w:after="0" w:line="141" w:lineRule="exact"/>
        <w:rPr>
          <w:rFonts w:ascii="Times New Roman" w:cs="Times New Roman" w:eastAsia="Times New Roman" w:hAnsi="Times New Roman"/>
          <w:sz w:val="21"/>
          <w:szCs w:val="21"/>
          <w:b w:val="1"/>
          <w:bCs w:val="1"/>
          <w:color w:val="auto"/>
        </w:rPr>
      </w:pPr>
    </w:p>
    <w:p>
      <w:pPr>
        <w:jc w:val="both"/>
        <w:ind w:firstLine="1579"/>
        <w:spacing w:after="0" w:line="216" w:lineRule="auto"/>
        <w:tabs>
          <w:tab w:leader="none" w:pos="1888"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PRSUs may be settled until they have vested, which shall occur, if at all, on the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Except as otherwise set forth in this Agreement or in the Plan, the PRSUs shall only vest on the Vesting Date if the Grantee has provided Service to the Company continuously from the Grant Date through the Vesting Date. Except as otherwise set forth in this Agreement or in the Plan, the number of PRSU’s that shall vest on the Vesting Date will be determined in accordance with the Vesting Table, based on the Company’s achievement of Total Shareholder Return and Relative Total Shareholder Return for the Performance Period. Any fractional share resulting from the application of the percentages in the Vesting Table shall be rounded to the nearest whole number of shares. The Committee shall determine the Total Shareholder Return and Relative TSR, if any, within 60 days after the end of the Performance Period. On the Vesting Date, all PRSUs that do not vest shall be automatically cancelled and the right to receive any PRSUs that do not vest hereunder shall automatically expire.</w:t>
      </w:r>
    </w:p>
    <w:p>
      <w:pPr>
        <w:spacing w:after="0" w:line="142"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PRSUs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24" w:lineRule="auto"/>
        <w:tabs>
          <w:tab w:leader="none" w:pos="251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PRSU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and (ii) the end of the deferral period specified by the Grantee. The deferral period shall be no less than four (4) years and five (5) days from the Grant Date. Such deferral election shall be made within 30 days of the Grant Date. Any deferral of the PRSUs shall be subject to the NQDC Plan and the applicable deferral election form.</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PRSUs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 shall be free and clear of all liens, fully paid and non-assessable. In no event shall fractional shares of Stock be issued.</w:t>
      </w:r>
    </w:p>
    <w:p>
      <w:pPr>
        <w:spacing w:after="0" w:line="178" w:lineRule="exact"/>
        <w:rPr>
          <w:sz w:val="20"/>
          <w:szCs w:val="20"/>
          <w:color w:val="auto"/>
        </w:rPr>
      </w:pPr>
    </w:p>
    <w:p>
      <w:pPr>
        <w:jc w:val="both"/>
        <w:ind w:firstLine="1893"/>
        <w:spacing w:after="0" w:line="230" w:lineRule="auto"/>
        <w:tabs>
          <w:tab w:leader="none" w:pos="251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PRSU or from any compensation or other amounts owing to the Grantee the amount (in cash, Stock or other property) of any required tax withholding and payroll taxes in respect of a PRSU vesting or settlement and to take such other action as may be necessary in the opinion of the Company to satisfy all obligations for the payment of such taxes.</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PRSU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PRSUs credited to the Grantee pursuant to the Vesting Table shall, as of such date, be increased by an amount determined by the following formula:</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PRSUs to be credited to the Grantee on such dividend payment date;</w:t>
      </w:r>
    </w:p>
    <w:p>
      <w:pPr>
        <w:spacing w:after="0" w:line="217" w:lineRule="exact"/>
        <w:rPr>
          <w:sz w:val="20"/>
          <w:szCs w:val="20"/>
          <w:color w:val="auto"/>
        </w:rPr>
      </w:pPr>
    </w:p>
    <w:p>
      <w:pPr>
        <w:ind w:left="1900"/>
        <w:spacing w:after="0" w:line="280" w:lineRule="auto"/>
        <w:rPr>
          <w:sz w:val="20"/>
          <w:szCs w:val="20"/>
          <w:color w:val="auto"/>
        </w:rPr>
      </w:pPr>
      <w:r>
        <w:rPr>
          <w:rFonts w:ascii="Times New Roman" w:cs="Times New Roman" w:eastAsia="Times New Roman" w:hAnsi="Times New Roman"/>
          <w:sz w:val="21"/>
          <w:szCs w:val="21"/>
          <w:color w:val="auto"/>
        </w:rPr>
        <w:t>X = the aggregate number of PRSUs (whether vested or unvested) credited to the Grantee as of the record date of the dividend;</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For the avoidance of doubt, no dividend equivalents shall be credited to PRSUs prior to the Committee determining the Total Shareholder Return and Relative TSR (and thus the actual number of PRSUs subject to vesting).</w:t>
      </w:r>
    </w:p>
    <w:p>
      <w:pPr>
        <w:spacing w:after="0" w:line="114" w:lineRule="exact"/>
        <w:rPr>
          <w:sz w:val="20"/>
          <w:szCs w:val="20"/>
          <w:color w:val="auto"/>
        </w:rPr>
      </w:pPr>
    </w:p>
    <w:p>
      <w:pPr>
        <w:ind w:left="1900" w:hanging="321"/>
        <w:spacing w:after="0"/>
        <w:tabs>
          <w:tab w:leader="none" w:pos="190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unvested PRSUs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six (6) months from the Grant Date but before the Settlement Date, then provided that the Grantee continuously remains in Retirement status after termination of Service, the Grantee shall continue to vest in all of the Grantee’s unvested PRSUs according to the terms of this Agreement as though the Grantee’s Service had not terminated. For clarity, the actual number of PRSUs that shall vest shall be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9"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determined at the end of the Performance Period according to the Vesting Table based on actual performance, and such vested PRSUs shall be settled at the time specified in Section 4 hereof.</w:t>
      </w:r>
    </w:p>
    <w:p>
      <w:pPr>
        <w:spacing w:after="0" w:line="144" w:lineRule="exact"/>
        <w:rPr>
          <w:sz w:val="20"/>
          <w:szCs w:val="20"/>
          <w:color w:val="auto"/>
        </w:rPr>
      </w:pPr>
    </w:p>
    <w:p>
      <w:pPr>
        <w:jc w:val="both"/>
        <w:ind w:firstLine="1893"/>
        <w:spacing w:after="0" w:line="217" w:lineRule="auto"/>
        <w:tabs>
          <w:tab w:leader="none" w:pos="251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end of the Performance Period, then on the date of the Grantee’s termination (or, if later, on the effective date of the Change in Control), 100% of the target number of PRSUs shall become immediately vested and settled according to Section 4 hereof, and any PRSUs in excess of the target number shall be forfeited. If the Grantee’s Service terminates due to a Change in Control Termination after the end of the Performance Period but before the Settlement Date, then on the date of the Grantee’s termination (or, if later, on the effective date of the Change in Control), the number of PRSUs that were earned based on actual performance according to the Vesting Table shall become immediately vested and settled according to Section 4 hereof.</w:t>
      </w:r>
    </w:p>
    <w:p>
      <w:pPr>
        <w:spacing w:after="0" w:line="150" w:lineRule="exact"/>
        <w:rPr>
          <w:rFonts w:ascii="Times New Roman" w:cs="Times New Roman" w:eastAsia="Times New Roman" w:hAnsi="Times New Roman"/>
          <w:sz w:val="21"/>
          <w:szCs w:val="21"/>
          <w:color w:val="auto"/>
        </w:rPr>
      </w:pPr>
    </w:p>
    <w:p>
      <w:pPr>
        <w:jc w:val="both"/>
        <w:ind w:firstLine="1893"/>
        <w:spacing w:after="0" w:line="215" w:lineRule="auto"/>
        <w:tabs>
          <w:tab w:leader="none" w:pos="251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 and prior to the end of the Performance Period, (i) 100% of the target number of PRSUs shall become immediately vested and, regardless of the Grantee’s deferral election, the Company, as soon as reasonably practicable, shall issue shares of Stock to the Grantee (or the Grantee’s designated beneficiary or estate executor in the event of the Grantee’s death) with respect to the target number of PRSUs and (ii) any PRSUs in excess of the target number shall be forfeited. In the event the Grantee dies or becomes Disabled (as determined by the Committee in its sole discretion) on or after the end of the Performance Period and prior to (or on) the Settlement Date, the Grantee shall be entitled to receive shares of Stock underlying all vested PRSUs, and regardless of the Grantee’s deferral election, the Company, as soon as reasonably practicable, shall issue the applicable number of shares of Stock to the Grantee (or the Grantee’s designated beneficiary or estate executor in the event of the Grantee’s death).</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or by the Grantee for Good Reason, in each case after the Grant Date but before the end of the Performance Period (other than due to a Change in Control Termination), then a pro-rata portion of the PRSUs based on a fraction equal to the number of full calendar months that have elapsed from the first day of the Performance Period through and inclusive of the termination date divided by 36 shall remain eligible to vest at the end of the Performance Period according to the Vesting Table based on actual performance, and such vested PRSUs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PRSUs and Actual PRSUs shall immediately be forfeited and cancelled, whether or not vested, as of the date of the Committee’s determination.</w:t>
      </w:r>
    </w:p>
    <w:p>
      <w:pPr>
        <w:spacing w:after="0" w:line="143"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PRSUs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PRSUs granted herein are not transferable by the Grantee other than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beneficiary upon death, by will or the laws of descent and distribution, to a trust solely for the benefit of the Grantee or his/her immediate family or, in the case of the PRSUs being held by such a trust, by the trustee.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60" w:lineRule="exact"/>
        <w:rPr>
          <w:sz w:val="20"/>
          <w:szCs w:val="20"/>
          <w:color w:val="auto"/>
        </w:rPr>
      </w:pPr>
    </w:p>
    <w:p>
      <w:pPr>
        <w:ind w:left="1900" w:hanging="321"/>
        <w:spacing w:after="0"/>
        <w:tabs>
          <w:tab w:leader="none" w:pos="190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b w:val="1"/>
          <w:bCs w:val="1"/>
          <w:color w:val="auto"/>
        </w:rPr>
      </w:pPr>
    </w:p>
    <w:p>
      <w:pPr>
        <w:jc w:val="both"/>
        <w:ind w:firstLine="1893"/>
        <w:spacing w:after="0" w:line="244" w:lineRule="auto"/>
        <w:tabs>
          <w:tab w:leader="none" w:pos="267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96" w:lineRule="exact"/>
        <w:rPr>
          <w:rFonts w:ascii="Times New Roman" w:cs="Times New Roman" w:eastAsia="Times New Roman" w:hAnsi="Times New Roman"/>
          <w:sz w:val="21"/>
          <w:szCs w:val="21"/>
          <w:color w:val="auto"/>
        </w:rPr>
      </w:pPr>
    </w:p>
    <w:p>
      <w:pPr>
        <w:jc w:val="both"/>
        <w:ind w:firstLine="1893"/>
        <w:spacing w:after="0" w:line="257" w:lineRule="auto"/>
        <w:tabs>
          <w:tab w:leader="none" w:pos="2343"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PRSUs (whether vested or unvested) and any issuance of shares of Stock that occurs after (or within six (6) months before) any such violation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1893"/>
        <w:spacing w:after="0" w:line="257" w:lineRule="auto"/>
        <w:tabs>
          <w:tab w:leader="none" w:pos="2409" w:val="left"/>
        </w:tabs>
        <w:numPr>
          <w:ilvl w:val="1"/>
          <w:numId w:val="4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81" w:lineRule="exact"/>
        <w:rPr>
          <w:rFonts w:ascii="Times New Roman" w:cs="Times New Roman" w:eastAsia="Times New Roman" w:hAnsi="Times New Roman"/>
          <w:sz w:val="21"/>
          <w:szCs w:val="21"/>
          <w:u w:val="single" w:color="auto"/>
          <w:color w:val="auto"/>
        </w:rPr>
      </w:pPr>
    </w:p>
    <w:p>
      <w:pPr>
        <w:jc w:val="both"/>
        <w:ind w:firstLine="1893"/>
        <w:spacing w:after="0" w:line="255" w:lineRule="auto"/>
        <w:tabs>
          <w:tab w:leader="none" w:pos="221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42"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PRSUs shall have no rights as a stockholder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share of Stock covered by the PRSUs until the Grantee shall have become the holder of record of such share of Stock and no adjustment shall be made for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dividends or distributions or other rights in respect of such share of Stock for which the record date is prior to the date upon which Grantee shall become the holder of record thereof.</w:t>
      </w:r>
    </w:p>
    <w:p>
      <w:pPr>
        <w:spacing w:after="0" w:line="140" w:lineRule="exact"/>
        <w:rPr>
          <w:sz w:val="20"/>
          <w:szCs w:val="20"/>
          <w:color w:val="auto"/>
        </w:rPr>
      </w:pPr>
    </w:p>
    <w:p>
      <w:pPr>
        <w:jc w:val="both"/>
        <w:ind w:firstLine="1579"/>
        <w:spacing w:after="0" w:line="222" w:lineRule="auto"/>
        <w:tabs>
          <w:tab w:leader="none" w:pos="1877"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8" w:lineRule="auto"/>
        <w:tabs>
          <w:tab w:leader="none" w:pos="1888"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5" w:lineRule="auto"/>
        <w:tabs>
          <w:tab w:leader="none" w:pos="1888"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PRSUs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PRSUs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PRSUs are subject to the terms of Plan, and the NQDC Plan if the PRSUs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19"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10.48</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3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I</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TSR VESTING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120"/>
          </w:cols>
          <w:pgMar w:left="1440" w:top="11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RESTRICTED STOCK UNIT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(TOTAL SHAREHOLDER RETURN)</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10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PERFORMANCE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1259"/>
        <w:spacing w:after="0" w:line="254"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58"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28" w:lineRule="exact"/>
        <w:rPr>
          <w:sz w:val="20"/>
          <w:szCs w:val="20"/>
          <w:color w:val="auto"/>
        </w:rPr>
      </w:pPr>
    </w:p>
    <w:p>
      <w:pPr>
        <w:ind w:left="1900" w:hanging="321"/>
        <w:spacing w:after="0"/>
        <w:tabs>
          <w:tab w:leader="none" w:pos="190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21" w:lineRule="auto"/>
        <w:tabs>
          <w:tab w:leader="none" w:pos="251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Accumulated Shares</w:t>
      </w:r>
      <w:r>
        <w:rPr>
          <w:rFonts w:ascii="Times New Roman" w:cs="Times New Roman" w:eastAsia="Times New Roman" w:hAnsi="Times New Roman"/>
          <w:sz w:val="21"/>
          <w:szCs w:val="21"/>
          <w:color w:val="auto"/>
        </w:rPr>
        <w:t>” means, for a given day, and for a given Peer Company or the Company, the sum of (i) one share of common stock of the applicable company (as included on the Russell 2000), plus (ii) a cumulative number of shares of common stock purchased with dividends declared on the common stock, assuming same day reinvestment of the dividends into shares of common stock at the closing price on the ex-dividend date, for ex-dividend dates during the Opening Average Period or for the period between January 1, 2025 and the last day of the Closing Average Period, as the case may be.</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6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(i) the definition of “cause” means any of the following: (A) Grantee’s failure to perform in any material respect his or her duties as an employee of the Company, (B) Grantee’s violation of the Company’s Code of Business Conduct, Code of Ethics for Senior Financial Officers and Principal Executive Officer, and/or Securities Trading Policy, (C) the engaging by Grantee in willful misconduct or gross negligence which is injurious to the Company or any of its affiliates, monetarily or otherwise, (D) the commission by the Grantee of an act of fraud or embezzlement against the Company or any of its affiliates, or (E) the conviction of the Grantee of a</w:t>
      </w:r>
    </w:p>
    <w:p>
      <w:pPr>
        <w:sectPr>
          <w:pgSz w:w="11900" w:h="16838" w:orient="portrait"/>
          <w:cols w:equalWidth="0" w:num="1">
            <w:col w:w="11240"/>
          </w:cols>
          <w:pgMar w:left="320" w:top="11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6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crime which constitutes a felony or any lesser crime that involves Company property or a pleading of guilty or nolo contendere with respect to a crime which constitutes a felony or any lesser crime that involves Company property, or (F) violation of any of the restrictive covenants in Section 9 hereof.</w:t>
      </w:r>
    </w:p>
    <w:p>
      <w:pPr>
        <w:spacing w:after="0" w:line="145" w:lineRule="exact"/>
        <w:rPr>
          <w:sz w:val="20"/>
          <w:szCs w:val="20"/>
          <w:color w:val="auto"/>
        </w:rPr>
      </w:pPr>
    </w:p>
    <w:p>
      <w:pPr>
        <w:ind w:left="2520" w:hanging="627"/>
        <w:spacing w:after="0"/>
        <w:tabs>
          <w:tab w:leader="none" w:pos="25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3" w:lineRule="auto"/>
        <w:tabs>
          <w:tab w:leader="none" w:pos="314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55" w:lineRule="exact"/>
        <w:rPr>
          <w:rFonts w:ascii="Times New Roman" w:cs="Times New Roman" w:eastAsia="Times New Roman" w:hAnsi="Times New Roman"/>
          <w:sz w:val="21"/>
          <w:szCs w:val="21"/>
          <w:color w:val="auto"/>
        </w:rPr>
      </w:pPr>
    </w:p>
    <w:p>
      <w:pPr>
        <w:ind w:firstLine="1893"/>
        <w:spacing w:after="0" w:line="241" w:lineRule="auto"/>
        <w:tabs>
          <w:tab w:leader="none" w:pos="251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Company’s termination of the Grantee’s Service without Cause (other than due to death or Disability) during the Protection Period</w:t>
      </w:r>
      <w:r>
        <w:rPr>
          <w:rFonts w:ascii="Times New Roman" w:cs="Times New Roman" w:eastAsia="Times New Roman" w:hAnsi="Times New Roman"/>
          <w:sz w:val="21"/>
          <w:szCs w:val="21"/>
          <w:b w:val="1"/>
          <w:bCs w:val="1"/>
          <w:color w:val="auto"/>
        </w:rPr>
        <w:t>.</w:t>
      </w:r>
    </w:p>
    <w:p>
      <w:pPr>
        <w:spacing w:after="0" w:line="13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Average Period</w:t>
      </w:r>
      <w:r>
        <w:rPr>
          <w:rFonts w:ascii="Times New Roman" w:cs="Times New Roman" w:eastAsia="Times New Roman" w:hAnsi="Times New Roman"/>
          <w:sz w:val="21"/>
          <w:szCs w:val="21"/>
          <w:color w:val="auto"/>
        </w:rPr>
        <w:t>” means the ninety (90)-day period ending on the last day of the Performance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Period.</w:t>
      </w:r>
    </w:p>
    <w:p>
      <w:pPr>
        <w:spacing w:after="0" w:line="15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Average Share Value</w:t>
      </w:r>
      <w:r>
        <w:rPr>
          <w:rFonts w:ascii="Times New Roman" w:cs="Times New Roman" w:eastAsia="Times New Roman" w:hAnsi="Times New Roman"/>
          <w:sz w:val="21"/>
          <w:szCs w:val="21"/>
          <w:color w:val="auto"/>
        </w:rPr>
        <w:t>” means, for each of the Peer Companies and the Company, the average, over the days in the Closing Average Period, of the closing price of its common stock multiplied by the Accumulated Shares for each day during the Closing Average Period.</w:t>
      </w:r>
    </w:p>
    <w:p>
      <w:pPr>
        <w:spacing w:after="0" w:line="144" w:lineRule="exact"/>
        <w:rPr>
          <w:rFonts w:ascii="Times New Roman" w:cs="Times New Roman" w:eastAsia="Times New Roman" w:hAnsi="Times New Roman"/>
          <w:sz w:val="21"/>
          <w:szCs w:val="21"/>
          <w:color w:val="auto"/>
        </w:rPr>
      </w:pPr>
    </w:p>
    <w:p>
      <w:pPr>
        <w:ind w:left="2580" w:hanging="687"/>
        <w:spacing w:after="0"/>
        <w:tabs>
          <w:tab w:leader="none" w:pos="25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PSU grant as set forth above.</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Opening Average Period</w:t>
      </w:r>
      <w:r>
        <w:rPr>
          <w:rFonts w:ascii="Times New Roman" w:cs="Times New Roman" w:eastAsia="Times New Roman" w:hAnsi="Times New Roman"/>
          <w:sz w:val="21"/>
          <w:szCs w:val="21"/>
          <w:color w:val="auto"/>
        </w:rPr>
        <w:t>” means the ninety (90)-day period ended on December 31, 2025.</w:t>
      </w:r>
    </w:p>
    <w:p>
      <w:pPr>
        <w:sectPr>
          <w:pgSz w:w="11900" w:h="16838" w:orient="portrait"/>
          <w:cols w:equalWidth="0" w:num="1">
            <w:col w:w="11240"/>
          </w:cols>
          <w:pgMar w:left="320" w:top="11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64" w:lineRule="exact"/>
        <w:rPr>
          <w:sz w:val="20"/>
          <w:szCs w:val="20"/>
          <w:color w:val="auto"/>
        </w:rPr>
      </w:pPr>
    </w:p>
    <w:p>
      <w:pPr>
        <w:jc w:val="both"/>
        <w:ind w:firstLine="1893"/>
        <w:spacing w:after="0" w:line="230" w:lineRule="auto"/>
        <w:tabs>
          <w:tab w:leader="none" w:pos="255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Opening Average Share Value</w:t>
      </w:r>
      <w:r>
        <w:rPr>
          <w:rFonts w:ascii="Times New Roman" w:cs="Times New Roman" w:eastAsia="Times New Roman" w:hAnsi="Times New Roman"/>
          <w:sz w:val="21"/>
          <w:szCs w:val="21"/>
          <w:color w:val="auto"/>
        </w:rPr>
        <w:t>” means, for each of the Peer Companies and the Company, the average during the Opening Average Period of the closing price of its common stock multiplied by the Accumulated Shares for each trading day during the Opening Average Period.</w:t>
      </w:r>
    </w:p>
    <w:p>
      <w:pPr>
        <w:spacing w:after="0" w:line="144" w:lineRule="exact"/>
        <w:rPr>
          <w:rFonts w:ascii="Times New Roman" w:cs="Times New Roman" w:eastAsia="Times New Roman" w:hAnsi="Times New Roman"/>
          <w:sz w:val="21"/>
          <w:szCs w:val="21"/>
          <w:color w:val="auto"/>
        </w:rPr>
      </w:pPr>
    </w:p>
    <w:p>
      <w:pPr>
        <w:jc w:val="both"/>
        <w:ind w:firstLine="1893"/>
        <w:spacing w:after="0" w:line="215" w:lineRule="auto"/>
        <w:tabs>
          <w:tab w:leader="none" w:pos="250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Peer Companies</w:t>
      </w:r>
      <w:r>
        <w:rPr>
          <w:rFonts w:ascii="Times New Roman" w:cs="Times New Roman" w:eastAsia="Times New Roman" w:hAnsi="Times New Roman"/>
          <w:sz w:val="21"/>
          <w:szCs w:val="21"/>
          <w:color w:val="auto"/>
        </w:rPr>
        <w:t>” means the companies included in the Russell 2000 on December 31, 2025. In the event of a merger, acquisition or business combination transaction of a Peer Company with or by another Peer Company, the surviving entity shall remain a Peer Company. 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 In the event of a merger or acquisition or business combination transaction of a Peer Company by or with an entity that is not a Peer Company, a “going private” transaction involving a Peer Company or the liquidation of a Peer Company, where the Peer Company is not the surviving entity or is otherwise no longer publicly traded, the company shall no longer be a Peer Company. In the event of a bankruptcy of a Peer Company, such company shall remain a Peer Company.</w:t>
      </w:r>
    </w:p>
    <w:p>
      <w:pPr>
        <w:spacing w:after="0" w:line="4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January 1, 2026 through December 31, 2028.</w:t>
      </w:r>
    </w:p>
    <w:p>
      <w:pPr>
        <w:spacing w:after="0" w:line="170"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means the performance restricted stock units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under Section 2.</w:t>
      </w:r>
    </w:p>
    <w:p>
      <w:pPr>
        <w:spacing w:after="0" w:line="154"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Relative Total Shareholder Return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Relative TSR</w:t>
      </w:r>
      <w:r>
        <w:rPr>
          <w:rFonts w:ascii="Times New Roman" w:cs="Times New Roman" w:eastAsia="Times New Roman" w:hAnsi="Times New Roman"/>
          <w:sz w:val="21"/>
          <w:szCs w:val="21"/>
          <w:color w:val="auto"/>
        </w:rPr>
        <w:t>” means the Company’s TSR relative to the TSR of the Peer Companies. Following the calculation of the TSR of the Company and each Peer Company for the Performance Period, the Company and each Peer Company will be ranked in order of maximum to minimum according to their respective TSR for the Performance Period. After this ranking, the percentile performance of the Company relative to the Peer Companies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119380</wp:posOffset>
            </wp:positionV>
            <wp:extent cx="741045" cy="341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6">
                      <a:extLst>
                        <a:ext uri="{28A0092B-C50C-407E-A947-70E740481C1C}"/>
                      </a:extLst>
                    </a:blip>
                    <a:srcRect/>
                    <a:stretch>
                      <a:fillRect/>
                    </a:stretch>
                  </pic:blipFill>
                  <pic:spPr bwMode="auto">
                    <a:xfrm>
                      <a:off x="0" y="0"/>
                      <a:ext cx="741045"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spacing w:after="0" w:line="293" w:lineRule="auto"/>
        <w:rPr>
          <w:sz w:val="20"/>
          <w:szCs w:val="20"/>
          <w:color w:val="auto"/>
        </w:rPr>
      </w:pPr>
      <w:r>
        <w:rPr>
          <w:rFonts w:ascii="Times New Roman" w:cs="Times New Roman" w:eastAsia="Times New Roman" w:hAnsi="Times New Roman"/>
          <w:sz w:val="21"/>
          <w:szCs w:val="21"/>
          <w:color w:val="auto"/>
        </w:rPr>
        <w:t>where: “P” represents the percentile performance, which will be rounded, if necessary, to the nearest half percentile by application of standard scientific rounding conventions.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“N” represents the number of Peer Companies, plus one (i.e., the Company).</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“R” represents the Company’s ranking versus the Peer Companies.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Example: </w:t>
      </w:r>
      <w:r>
        <w:rPr>
          <w:rFonts w:ascii="Times New Roman" w:cs="Times New Roman" w:eastAsia="Times New Roman" w:hAnsi="Times New Roman"/>
          <w:sz w:val="21"/>
          <w:szCs w:val="21"/>
          <w:color w:val="auto"/>
        </w:rPr>
        <w:t>If there are 1000 Peer Companies, and the Company ranked 501st out of 1001 (i.e., 1000 Peer Companies,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plus the Company), the performance would be at the 50th percentile: .50 = 1 – ((501-1)/(1001-1)).</w:t>
      </w:r>
    </w:p>
    <w:p>
      <w:pPr>
        <w:spacing w:after="0" w:line="180" w:lineRule="exact"/>
        <w:rPr>
          <w:sz w:val="20"/>
          <w:szCs w:val="20"/>
          <w:color w:val="auto"/>
        </w:rPr>
      </w:pPr>
    </w:p>
    <w:p>
      <w:pPr>
        <w:jc w:val="both"/>
        <w:ind w:firstLine="1893"/>
        <w:spacing w:after="0" w:line="224" w:lineRule="auto"/>
        <w:tabs>
          <w:tab w:leader="none" w:pos="25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ectPr>
          <w:pgSz w:w="11900" w:h="16838" w:orient="portrait"/>
          <w:cols w:equalWidth="0" w:num="1">
            <w:col w:w="11240"/>
          </w:cols>
          <w:pgMar w:left="320" w:top="119"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64" w:lineRule="exact"/>
        <w:rPr>
          <w:sz w:val="20"/>
          <w:szCs w:val="20"/>
          <w:color w:val="auto"/>
        </w:rPr>
      </w:pPr>
    </w:p>
    <w:p>
      <w:pPr>
        <w:ind w:firstLine="1893"/>
        <w:spacing w:after="0" w:line="241" w:lineRule="auto"/>
        <w:tabs>
          <w:tab w:leader="none" w:pos="251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0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Shareholder Return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means for each of the Company and the Peer Companies, the company’s total shareholder return, which will be calculated by dividing (i) the Closing Average Share Value by (ii) the Opening Average Share Value, and then subtracting one (1).</w:t>
      </w:r>
    </w:p>
    <w:p>
      <w:pPr>
        <w:spacing w:after="0" w:line="144"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xml:space="preserve">” means the date on which the Committee determines the TSR and Relative TSR;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of a Change in Control, the Vesting Date shall be the effective date of the Change in Control.</w:t>
      </w:r>
    </w:p>
    <w:p>
      <w:pPr>
        <w:spacing w:after="0" w:line="140"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Performance Restricted Stock Units</w:t>
      </w:r>
      <w:r>
        <w:rPr>
          <w:rFonts w:ascii="Times New Roman" w:cs="Times New Roman" w:eastAsia="Times New Roman" w:hAnsi="Times New Roman"/>
          <w:sz w:val="21"/>
          <w:szCs w:val="21"/>
          <w:color w:val="auto"/>
        </w:rPr>
        <w:t>. Subject to the terms and conditions set forth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hereby grants to the Grantee PRSUs, which shall be the target number. The actual number of PRSUs that can vest may be more or less than the target number, as determined in accordance with the table (the “</w:t>
      </w:r>
      <w:r>
        <w:rPr>
          <w:rFonts w:ascii="Times New Roman" w:cs="Times New Roman" w:eastAsia="Times New Roman" w:hAnsi="Times New Roman"/>
          <w:sz w:val="21"/>
          <w:szCs w:val="21"/>
          <w:u w:val="single" w:color="auto"/>
          <w:color w:val="auto"/>
        </w:rPr>
        <w:t>Vesting Table</w:t>
      </w:r>
      <w:r>
        <w:rPr>
          <w:rFonts w:ascii="Times New Roman" w:cs="Times New Roman" w:eastAsia="Times New Roman" w:hAnsi="Times New Roman"/>
          <w:sz w:val="21"/>
          <w:szCs w:val="21"/>
          <w:color w:val="auto"/>
        </w:rPr>
        <w:t>”) set forth on Schedule I.</w:t>
      </w:r>
    </w:p>
    <w:p>
      <w:pPr>
        <w:spacing w:after="0" w:line="141" w:lineRule="exact"/>
        <w:rPr>
          <w:rFonts w:ascii="Times New Roman" w:cs="Times New Roman" w:eastAsia="Times New Roman" w:hAnsi="Times New Roman"/>
          <w:sz w:val="21"/>
          <w:szCs w:val="21"/>
          <w:b w:val="1"/>
          <w:bCs w:val="1"/>
          <w:color w:val="auto"/>
        </w:rPr>
      </w:pPr>
    </w:p>
    <w:p>
      <w:pPr>
        <w:jc w:val="both"/>
        <w:ind w:firstLine="1579"/>
        <w:spacing w:after="0" w:line="216" w:lineRule="auto"/>
        <w:tabs>
          <w:tab w:leader="none" w:pos="1888"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PRSUs may be settled until they have vested, which shall occur, if at all, on the Vesting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Except as otherwise set forth in this Agreement or in the Plan, the PRSUs shall only vest on the Vesting Date if the Grantee has provided Service to the Company continuously from the Grant Date through the Vesting Date. Except as otherwise set forth in this Agreement or in the Plan, the number of PRSU’s that shall vest on the Vesting Date will be determined in accordance with the Vesting Table, based on the Company’s achievement of Total Shareholder Return and Relative Total Shareholder Return for the Performance Period. Any fractional share resulting from the application of the percentages in the Vesting Table shall be rounded to the nearest whole number of shares. The Committee shall determine the Total Shareholder Return and Relative TSR, if any, within 60 days after the end of the Performance Period. On the Vesting Date, all PRSUs that do not vest shall be automatically cancelled and the right to receive any PRSUs that do not vest hereunder shall automatically expire.</w:t>
      </w:r>
    </w:p>
    <w:p>
      <w:pPr>
        <w:spacing w:after="0" w:line="142"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PRSUs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24" w:lineRule="auto"/>
        <w:tabs>
          <w:tab w:leader="none" w:pos="251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PRSU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and (ii) the end of the deferral period specified by the Grantee. The deferral period shall be no less than four (4) years and five (5) days from the Grant Date. Such deferral election shall be made within 30 days of the Grant Date. Any deferral of the PRSUs shall be subject to the NQDC Plan and the applicable deferral election form.</w:t>
      </w:r>
    </w:p>
    <w:p>
      <w:pPr>
        <w:spacing w:after="0" w:line="147"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PRSUs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4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3"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PRSU or from any compensation or other amounts owing to the Grantee the amount (in cash, Stock or other property) of any required tax</w:t>
      </w:r>
    </w:p>
    <w:p>
      <w:pPr>
        <w:sectPr>
          <w:pgSz w:w="11900" w:h="16838" w:orient="portrait"/>
          <w:cols w:equalWidth="0" w:num="1">
            <w:col w:w="11240"/>
          </w:cols>
          <w:pgMar w:left="320" w:top="11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withholding and payroll taxes in respect of a PRSU vesting or settlement and to take such other action as may be necessary in the opinion of the Company to satisfy all obligations for the payment of such taxes.</w:t>
      </w:r>
    </w:p>
    <w:p>
      <w:pPr>
        <w:spacing w:after="0" w:line="144" w:lineRule="exact"/>
        <w:rPr>
          <w:sz w:val="20"/>
          <w:szCs w:val="20"/>
          <w:color w:val="auto"/>
        </w:rPr>
      </w:pPr>
    </w:p>
    <w:p>
      <w:pPr>
        <w:jc w:val="both"/>
        <w:ind w:firstLine="1893"/>
        <w:spacing w:after="0" w:line="224" w:lineRule="auto"/>
        <w:tabs>
          <w:tab w:leader="none" w:pos="2514"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PRSU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PRSUs credited to the Grantee pursuant to the Vesting Table shall, as of such date, be increased by an amount determined by the following formula:</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PRSUs to be credited to the Grantee on such dividend payment date;</w:t>
      </w:r>
    </w:p>
    <w:p>
      <w:pPr>
        <w:spacing w:after="0" w:line="217" w:lineRule="exact"/>
        <w:rPr>
          <w:sz w:val="20"/>
          <w:szCs w:val="20"/>
          <w:color w:val="auto"/>
        </w:rPr>
      </w:pPr>
    </w:p>
    <w:p>
      <w:pPr>
        <w:ind w:left="1900"/>
        <w:spacing w:after="0" w:line="280" w:lineRule="auto"/>
        <w:rPr>
          <w:sz w:val="20"/>
          <w:szCs w:val="20"/>
          <w:color w:val="auto"/>
        </w:rPr>
      </w:pPr>
      <w:r>
        <w:rPr>
          <w:rFonts w:ascii="Times New Roman" w:cs="Times New Roman" w:eastAsia="Times New Roman" w:hAnsi="Times New Roman"/>
          <w:sz w:val="21"/>
          <w:szCs w:val="21"/>
          <w:color w:val="auto"/>
        </w:rPr>
        <w:t>X = the aggregate number of PRSUs (whether vested or unvested) credited to the Grantee as of the record date of the dividend;</w:t>
      </w:r>
    </w:p>
    <w:p>
      <w:pPr>
        <w:spacing w:after="0" w:line="15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For the avoidance of doubt, no dividend equivalents shall be credited to PRSUs prior to the Committee determining the Total Shareholder Return and Relative TSR (and thus the actual number of PRSUs subject to vesting).</w:t>
      </w:r>
    </w:p>
    <w:p>
      <w:pPr>
        <w:spacing w:after="0" w:line="114" w:lineRule="exact"/>
        <w:rPr>
          <w:sz w:val="20"/>
          <w:szCs w:val="20"/>
          <w:color w:val="auto"/>
        </w:rPr>
      </w:pPr>
    </w:p>
    <w:p>
      <w:pPr>
        <w:ind w:left="1900" w:hanging="321"/>
        <w:spacing w:after="0"/>
        <w:tabs>
          <w:tab w:leader="none" w:pos="190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unvested PRSUs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3"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unvested PRSUs according to the terms of this Agreement as though the Grantee’s Service had not terminated. For clarity, the actual number of PRSUs that shall vest shall be determined at the end of the Performance Period according to the Vesting Table based on actual performance, and such vested PRSUs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7" w:lineRule="auto"/>
        <w:tabs>
          <w:tab w:leader="none" w:pos="251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end of the Performance Period, then on the date of the Grantee’s termination (or, if later, on the effective date of the Change in Control), 100% of the target number of PRSUs shall become immediately vested and settled according to Section 4 hereof, and any PRSUs in excess of the target number shall be forfeited. If the Grantee’s Service terminates due to a Change in Control Termination after the end of the Performance Period but before the Settlement Date, then on the date of the Grantee’s termination (or, if later, on the effective date of the Change in Control), the number of PRSUs that were earned based on actual performance according to the Vesting Table shall become immediately vested and settled according to Section 4 hereof.</w:t>
      </w:r>
    </w:p>
    <w:p>
      <w:pPr>
        <w:sectPr>
          <w:pgSz w:w="11900" w:h="16838" w:orient="portrait"/>
          <w:cols w:equalWidth="0" w:num="1">
            <w:col w:w="11240"/>
          </w:cols>
          <w:pgMar w:left="320" w:top="11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64" w:lineRule="exact"/>
        <w:rPr>
          <w:sz w:val="20"/>
          <w:szCs w:val="20"/>
          <w:color w:val="auto"/>
        </w:rPr>
      </w:pPr>
    </w:p>
    <w:p>
      <w:pPr>
        <w:jc w:val="both"/>
        <w:ind w:firstLine="1893"/>
        <w:spacing w:after="0" w:line="215" w:lineRule="auto"/>
        <w:tabs>
          <w:tab w:leader="none" w:pos="2513"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 and prior to the end of the Performance Period, (i) 100% of the target number of PRSUs shall become immediately vested and, regardless of the Grantee’s deferral election, the Company, as soon as reasonably practicable, shall issue shares of Stock to the Grantee (or the Grantee’s designated beneficiary or estate executor in the event of the Grantee’s death) with respect to the target number of PRSUs and (ii) any PRSUs in excess of the target number shall be forfeited. In the event the Grantee dies or becomes Disabled (as determined by the Committee in its sole discretion) on or after the end of the Performance Period and prior to (or on) the Settlement Date, the Grantee shall be entitled to receive shares of Stock underlying all vested PRSUs, and regardless of the Grantee’s deferral election, the Company, as soon as reasonably practicable, shall issue the applicable number of shares of Stock to the Grantee (or the Grantee’s designated beneficiary or estate executor in the event of the Grantee’s death).</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in each case after the Grant Date but before the end of the Performance Period (other than due to a Change in Control Termination), then a pro-rata portion of the PRSUs based on a fraction equal to the number of full calendar months that have elapsed from the first day of the Performance Period through and inclusive of the termination date divided by 36 shall remain eligible to vest at the end of the Performance Period according to the Vesting Table based on actual performance, and such vested PRSUs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7"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PRSUs and Actual PRSUs shall immediately be forfeited and cancelled, whether or not vested, as of the date of the Committee’s determination.</w:t>
      </w:r>
    </w:p>
    <w:p>
      <w:pPr>
        <w:spacing w:after="0" w:line="143"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PRSUs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PRSUs granted herein are not transferable by the Grantee other than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beneficiary upon death, by will or the laws of descent and distribution, to a trust solely for the benefit of the Grantee or his/her immediate family or, in the case of the PRSUs being held by such a trust, by the trustee.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b w:val="1"/>
          <w:bCs w:val="1"/>
          <w:color w:val="auto"/>
        </w:rPr>
      </w:pPr>
    </w:p>
    <w:p>
      <w:pPr>
        <w:jc w:val="both"/>
        <w:ind w:firstLine="1893"/>
        <w:spacing w:after="0" w:line="248" w:lineRule="auto"/>
        <w:tabs>
          <w:tab w:leader="none" w:pos="2344"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w:t>
      </w:r>
    </w:p>
    <w:p>
      <w:pPr>
        <w:sectPr>
          <w:pgSz w:w="11900" w:h="16838" w:orient="portrait"/>
          <w:cols w:equalWidth="0" w:num="1">
            <w:col w:w="11240"/>
          </w:cols>
          <w:pgMar w:left="320" w:top="11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89" w:lineRule="exact"/>
        <w:rPr>
          <w:sz w:val="20"/>
          <w:szCs w:val="20"/>
          <w:color w:val="auto"/>
        </w:rPr>
      </w:pPr>
    </w:p>
    <w:p>
      <w:pPr>
        <w:jc w:val="both"/>
        <w:ind w:firstLine="1893"/>
        <w:spacing w:after="0" w:line="257" w:lineRule="auto"/>
        <w:tabs>
          <w:tab w:leader="none" w:pos="234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PRSUs (whether vested or unvested) and any issuance of shares of Stock that occurs after (or within six (6) months before) any such violation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1893"/>
        <w:spacing w:after="0" w:line="257" w:lineRule="auto"/>
        <w:tabs>
          <w:tab w:leader="none" w:pos="2409" w:val="left"/>
        </w:tabs>
        <w:numPr>
          <w:ilvl w:val="0"/>
          <w:numId w:val="5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82" w:lineRule="exact"/>
        <w:rPr>
          <w:sz w:val="20"/>
          <w:szCs w:val="20"/>
          <w:color w:val="auto"/>
        </w:rPr>
      </w:pPr>
    </w:p>
    <w:p>
      <w:pPr>
        <w:jc w:val="both"/>
        <w:ind w:firstLine="1893"/>
        <w:spacing w:after="0" w:line="255" w:lineRule="auto"/>
        <w:tabs>
          <w:tab w:leader="none" w:pos="214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55" w:lineRule="exact"/>
        <w:rPr>
          <w:rFonts w:ascii="Times New Roman" w:cs="Times New Roman" w:eastAsia="Times New Roman" w:hAnsi="Times New Roman"/>
          <w:sz w:val="21"/>
          <w:szCs w:val="21"/>
          <w:color w:val="auto"/>
        </w:rPr>
      </w:pPr>
    </w:p>
    <w:p>
      <w:pPr>
        <w:jc w:val="both"/>
        <w:ind w:firstLine="1579"/>
        <w:spacing w:after="0" w:line="225" w:lineRule="auto"/>
        <w:tabs>
          <w:tab w:leader="none" w:pos="1888"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PRSUs shall have no rights as a stockholder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share of Stock covered by the PRSUs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77"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w:t>
      </w:r>
    </w:p>
    <w:p>
      <w:pPr>
        <w:sectPr>
          <w:pgSz w:w="11900" w:h="16838" w:orient="portrait"/>
          <w:cols w:equalWidth="0" w:num="1">
            <w:col w:w="11240"/>
          </w:cols>
          <w:pgMar w:left="320" w:top="11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6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sz w:val="20"/>
          <w:szCs w:val="20"/>
          <w:color w:val="auto"/>
        </w:rPr>
      </w:pPr>
    </w:p>
    <w:p>
      <w:pPr>
        <w:jc w:val="both"/>
        <w:ind w:firstLine="1579"/>
        <w:spacing w:after="0" w:line="225" w:lineRule="auto"/>
        <w:tabs>
          <w:tab w:leader="none" w:pos="188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PRSUs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PRSUs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PRSUs are subject to the terms of Plan, and the NQDC Plan if the PRSUs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ectPr>
          <w:pgSz w:w="11900" w:h="16838" w:orient="portrait"/>
          <w:cols w:equalWidth="0" w:num="1">
            <w:col w:w="11240"/>
          </w:cols>
          <w:pgMar w:left="320" w:top="11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10.49</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3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I</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TSR VESTING TABLE</w:t>
      </w:r>
    </w:p>
    <w:p>
      <w:pPr>
        <w:sectPr>
          <w:pgSz w:w="11900" w:h="16838" w:orient="portrait"/>
          <w:cols w:equalWidth="0" w:num="1">
            <w:col w:w="10120"/>
          </w:cols>
          <w:pgMar w:left="1440" w:top="11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 </w:t>
      </w:r>
    </w:p>
    <w:p>
      <w:pPr>
        <w:spacing w:after="0" w:line="187" w:lineRule="exact"/>
        <w:rPr>
          <w:sz w:val="20"/>
          <w:szCs w:val="20"/>
          <w:color w:val="auto"/>
        </w:rPr>
      </w:pPr>
    </w:p>
    <w:p>
      <w:pPr>
        <w:ind w:right="60" w:firstLine="1259"/>
        <w:spacing w:after="0" w:line="284" w:lineRule="auto"/>
        <w:rPr>
          <w:sz w:val="20"/>
          <w:szCs w:val="20"/>
          <w:color w:val="auto"/>
        </w:rPr>
      </w:pPr>
      <w:r>
        <w:rPr>
          <w:rFonts w:ascii="Times New Roman" w:cs="Times New Roman" w:eastAsia="Times New Roman" w:hAnsi="Times New Roman"/>
          <w:sz w:val="21"/>
          <w:szCs w:val="21"/>
          <w:b w:val="1"/>
          <w:bCs w:val="1"/>
          <w:color w:val="auto"/>
        </w:rPr>
        <w:t>THIS RESTRICTED STOCK UNIT AGREEMENT (the “</w:t>
      </w:r>
      <w:r>
        <w:rPr>
          <w:rFonts w:ascii="Times New Roman" w:cs="Times New Roman" w:eastAsia="Times New Roman" w:hAnsi="Times New Roman"/>
          <w:sz w:val="21"/>
          <w:szCs w:val="21"/>
          <w:b w:val="1"/>
          <w:bCs w:val="1"/>
          <w:u w:val="single" w:color="auto"/>
          <w:color w:val="auto"/>
        </w:rPr>
        <w:t>Agreemen</w:t>
      </w:r>
      <w:r>
        <w:rPr>
          <w:rFonts w:ascii="Times New Roman" w:cs="Times New Roman" w:eastAsia="Times New Roman" w:hAnsi="Times New Roman"/>
          <w:sz w:val="21"/>
          <w:szCs w:val="21"/>
          <w:b w:val="1"/>
          <w:bCs w:val="1"/>
          <w:color w:val="auto"/>
        </w:rPr>
        <w:t>t”), made as of the Grant Date (as defined herein) by and between AMN Healthcare Services, Inc.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b w:val="1"/>
          <w:bCs w:val="1"/>
          <w:color w:val="auto"/>
        </w:rPr>
        <w:t>”), a Delaware corporation, and the Grantee.</w:t>
      </w:r>
      <w:r>
        <w:rPr>
          <w:rFonts w:ascii="Times New Roman" w:cs="Times New Roman" w:eastAsia="Times New Roman" w:hAnsi="Times New Roman"/>
          <w:sz w:val="21"/>
          <w:szCs w:val="21"/>
          <w:color w:val="auto"/>
        </w:rPr>
        <w:t>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1259"/>
        <w:spacing w:after="0" w:line="258"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81"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14" w:lineRule="exact"/>
        <w:rPr>
          <w:sz w:val="20"/>
          <w:szCs w:val="20"/>
          <w:color w:val="auto"/>
        </w:rPr>
      </w:pPr>
    </w:p>
    <w:p>
      <w:pPr>
        <w:ind w:left="1900" w:hanging="321"/>
        <w:spacing w:after="0"/>
        <w:tabs>
          <w:tab w:leader="none" w:pos="190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30" w:lineRule="auto"/>
        <w:tabs>
          <w:tab w:leader="none" w:pos="251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5" w:lineRule="auto"/>
        <w:tabs>
          <w:tab w:leader="none" w:pos="251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(i) the definition of “cause” provided in the employment or severance agreement in effect between the Grantee and the Company or any Affiliate or (ii) if no such agreement exists, then the occurrence of any of the following: (A) Grantee’s failure to perform in any material respect his or her duties as an employee of the Company, (B) Grantee’s violation of the Company’s Code of Business Conduct, Code of Ethics for Senior Financial Officers and Principal Executive Officer, and/or Securities Trading Policy, (C) the engaging by Grantee in willful misconduct or gross negligence which is injurious to the Company or any of its affiliates, monetarily or otherwise, (D) the commission by the Grantee of an act of fraud or embezzlement against the Company or any of its affiliates, or (E) the conviction of the Grantee of a crime which constitutes a felony or any lesser crime that involves Company property or a pleading of guilty or nolo contendere with respect to a crime which constitutes a felony or any lesser crime that involves Company property, or (F) violation of any of the restrictive covenants in Section 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20" w:hanging="627"/>
        <w:spacing w:after="0"/>
        <w:tabs>
          <w:tab w:leader="none" w:pos="25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3" w:lineRule="auto"/>
        <w:tabs>
          <w:tab w:leader="none" w:pos="3147"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w:t>
      </w:r>
      <w:r>
        <w:rPr>
          <w:rFonts w:ascii="Times New Roman" w:cs="Times New Roman" w:eastAsia="Times New Roman" w:hAnsi="Times New Roman"/>
          <w:sz w:val="21"/>
          <w:szCs w:val="21"/>
          <w:u w:val="single" w:color="auto"/>
          <w:color w:val="auto"/>
        </w:rPr>
        <w:t>Surviving Corporation</w:t>
      </w:r>
      <w:r>
        <w:rPr>
          <w:rFonts w:ascii="Times New Roman" w:cs="Times New Roman" w:eastAsia="Times New Roman" w:hAnsi="Times New Roman"/>
          <w:sz w:val="21"/>
          <w:szCs w:val="21"/>
          <w:color w:val="auto"/>
        </w:rPr>
        <w:t>” shall mean the corporation resulting from a Business Combination, and “</w:t>
      </w:r>
      <w:r>
        <w:rPr>
          <w:rFonts w:ascii="Times New Roman" w:cs="Times New Roman" w:eastAsia="Times New Roman" w:hAnsi="Times New Roman"/>
          <w:sz w:val="21"/>
          <w:szCs w:val="21"/>
          <w:u w:val="single" w:color="auto"/>
          <w:color w:val="auto"/>
        </w:rPr>
        <w:t>Parent Corporation</w:t>
      </w:r>
      <w:r>
        <w:rPr>
          <w:rFonts w:ascii="Times New Roman" w:cs="Times New Roman" w:eastAsia="Times New Roman" w:hAnsi="Times New Roman"/>
          <w:sz w:val="21"/>
          <w:szCs w:val="21"/>
          <w:color w:val="auto"/>
        </w:rPr>
        <w:t>”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55"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occurrence of either of the following events during the Protection Period: (i) the Company’s termination of the Grantee’s Service without Cause (other than due to death or Disability) or (ii) the Grantee’s termination of his or her Service with Good Reason at a time when the Grantee could not have been terminated for Cause.</w:t>
      </w:r>
    </w:p>
    <w:p>
      <w:pPr>
        <w:spacing w:after="0" w:line="147"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may treat periods of less than full time employment, in whole or in part, as Credited Service in its sole discretion.</w:t>
      </w:r>
    </w:p>
    <w:p>
      <w:pPr>
        <w:spacing w:after="0" w:line="147"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(i) the definition of “good reason” provided in the employment or severance agreement in effect between the Grantee and the Company or any Affiliate or (ii) if no such agreement exists, then the occurrence of any of the following events without the Grantee’s express written consent: (A) a material reduction in the Grantee’s base salary or target annual bonus compensation as in effect on the date immediately prior to a Change in Control, (B) the Company’s assignment to the Grantee without the Grantee’s consent of duties materially and adversely inconsistent with the Grantee’s position, duties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19"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responsibilities as in effect immediately before the Change in Control, including, but not limited to, any material reduction in such position, duties or responsibilities, or a change in the Grantee’s title or office, as then in effect, or any removal of the Grantee from any of such positions, titles or offices, or (C) the Company’s relocation of the Grantee’s principal place of employment to a locale that is more than fifty (50) miles from the Grantee’s principal place of employment immediately prior to the Change in Control.</w:t>
      </w:r>
    </w:p>
    <w:p>
      <w:pPr>
        <w:spacing w:after="0" w:line="148" w:lineRule="exact"/>
        <w:rPr>
          <w:sz w:val="20"/>
          <w:szCs w:val="20"/>
          <w:color w:val="auto"/>
        </w:rPr>
      </w:pPr>
    </w:p>
    <w:p>
      <w:pPr>
        <w:ind w:left="2520" w:hanging="627"/>
        <w:spacing w:after="0"/>
        <w:tabs>
          <w:tab w:leader="none" w:pos="252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RSU grant as set forth above.</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144"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means the restricted stock unit granted under Section 2.</w:t>
      </w:r>
    </w:p>
    <w:p>
      <w:pPr>
        <w:spacing w:after="0" w:line="178"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0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(other than for Cause or due to a Change in Control Termination)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0" w:lineRule="exact"/>
        <w:rPr>
          <w:rFonts w:ascii="Times New Roman" w:cs="Times New Roman" w:eastAsia="Times New Roman" w:hAnsi="Times New Roman"/>
          <w:sz w:val="21"/>
          <w:szCs w:val="21"/>
          <w:color w:val="auto"/>
        </w:rPr>
      </w:pPr>
    </w:p>
    <w:p>
      <w:pPr>
        <w:ind w:firstLine="1579"/>
        <w:spacing w:after="0" w:line="245" w:lineRule="auto"/>
        <w:tabs>
          <w:tab w:leader="none" w:pos="1888"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grants to the Grantee an aggregate number of Restricted Stock Units (“RSUs”) as set forth above.</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18" w:lineRule="auto"/>
        <w:tabs>
          <w:tab w:leader="none" w:pos="1888"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RSUs may be settled until they shall have vested. Except as otherwise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or in the Plan, the RSUs will vest in three tranches on each of the first, second and third anniversaries of the Grant Date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the Grantee’s provision of three periods of Credited Service. The first tranche, equal to 33% of the RSUs granted, will vest on the first anniversary of the Grant Date and the Grantee’s provision of one period of Credited Service. The second tranche, equal to 33% of the RSUs granted, will vest on the second anniversary of the Grant Date and the Grantee’s provision of a second period of Credited Service. The final tranche, equal to 34% of the RSUs granted, will vest on the third anniversary of the Grant Date and the Grantee’s provision of a third period of Credited Service.</w:t>
      </w:r>
    </w:p>
    <w:p>
      <w:pPr>
        <w:spacing w:after="0" w:line="143"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21" w:lineRule="auto"/>
        <w:tabs>
          <w:tab w:leader="none" w:pos="2514"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for such RSU, provided, however, if there is an accelerated vesting of all or a portion of the RSUs under Section 6 hereof, the Settlement Date for any such accelerated RSUs shall be the date on which it is determined that the conditions to acceleration have been met or (ii) the end of the deferral period specified by the Grantee. The deferral period shall be no less than four (4) years and five (5) days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19"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Grant Date. Such deferral election shall be made within 30 days of the Grant Date. The deferral of RSUs shall be subject to the NQDC Plan and the applicable deferral election.</w:t>
      </w:r>
    </w:p>
    <w:p>
      <w:pPr>
        <w:spacing w:after="0" w:line="144" w:lineRule="exact"/>
        <w:rPr>
          <w:sz w:val="20"/>
          <w:szCs w:val="20"/>
          <w:color w:val="auto"/>
        </w:rPr>
      </w:pPr>
    </w:p>
    <w:p>
      <w:pPr>
        <w:jc w:val="both"/>
        <w:ind w:firstLine="1893"/>
        <w:spacing w:after="0" w:line="221" w:lineRule="auto"/>
        <w:tabs>
          <w:tab w:leader="none" w:pos="2513"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RSU or from any compensation or other amounts owing to the Grantee the amount (in cash, Stock or other property) of any required tax withholding and payroll taxes in respect of an RSU vesting or settlement and to take such other action as may be necessary in the opinion of the Company to satisfy all obligations for the payment of such taxes.</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RSU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RSUs credited to the Grantee shall, as of such date, be increased by an amount determined by the following formula:</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RSUs to be credited to the Grantee on such dividend payment date;</w:t>
      </w:r>
    </w:p>
    <w:p>
      <w:pPr>
        <w:spacing w:after="0" w:line="217" w:lineRule="exact"/>
        <w:rPr>
          <w:sz w:val="20"/>
          <w:szCs w:val="20"/>
          <w:color w:val="auto"/>
        </w:rPr>
      </w:pPr>
    </w:p>
    <w:p>
      <w:pPr>
        <w:ind w:left="1900"/>
        <w:spacing w:after="0" w:line="293" w:lineRule="auto"/>
        <w:rPr>
          <w:sz w:val="20"/>
          <w:szCs w:val="20"/>
          <w:color w:val="auto"/>
        </w:rPr>
      </w:pPr>
      <w:r>
        <w:rPr>
          <w:rFonts w:ascii="Times New Roman" w:cs="Times New Roman" w:eastAsia="Times New Roman" w:hAnsi="Times New Roman"/>
          <w:sz w:val="21"/>
          <w:szCs w:val="21"/>
          <w:color w:val="auto"/>
        </w:rPr>
        <w:t>X = the aggregate number of RSUs (whether vested or unvested) credited to the Grantee as of the record date of the dividend;</w:t>
      </w:r>
    </w:p>
    <w:p>
      <w:pPr>
        <w:spacing w:after="0" w:line="1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187" w:lineRule="exact"/>
        <w:rPr>
          <w:sz w:val="20"/>
          <w:szCs w:val="20"/>
          <w:color w:val="auto"/>
        </w:rPr>
      </w:pPr>
    </w:p>
    <w:p>
      <w:pPr>
        <w:ind w:left="1900" w:hanging="321"/>
        <w:spacing w:after="0"/>
        <w:tabs>
          <w:tab w:leader="none" w:pos="190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vested RSUs shall be settled in accordance with Section 4, and any unvested RSUs shall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19"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1893"/>
        <w:spacing w:after="0" w:line="221" w:lineRule="auto"/>
        <w:tabs>
          <w:tab w:leader="none" w:pos="251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six (6) months from the Grant Date but before the Settlement Date, then provided that the Grantee continuously remains in Retirement status after termination of Service, the Grantee shall continue to vest in all of the Grantee’s RSUs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Settlement Date, then on the date of the Grantee’s termination (or, if later, on the effective date of the Change in Control), 100% of the RSUs shall become immediately vested and settled according to Section 4 hereof.</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 and prior to third anniversary of the Grant Date), 100% of the RSUs shall become immediately vested and, regardless of the Grantee’s deferral election, the Company as soon as reasonably practicable shall issue shares of Stock to the Grantee (or the Grantee’s designated beneficiary or estate executor in the event of the Grantee’s death) with respect to the RSUs that have vested hereunder but for which shares of Stock had not yet been issued to the Grantee.</w:t>
      </w:r>
    </w:p>
    <w:p>
      <w:pPr>
        <w:spacing w:after="0" w:line="147" w:lineRule="exact"/>
        <w:rPr>
          <w:rFonts w:ascii="Times New Roman" w:cs="Times New Roman" w:eastAsia="Times New Roman" w:hAnsi="Times New Roman"/>
          <w:sz w:val="21"/>
          <w:szCs w:val="21"/>
          <w:color w:val="auto"/>
        </w:rPr>
      </w:pPr>
    </w:p>
    <w:p>
      <w:pPr>
        <w:jc w:val="both"/>
        <w:ind w:firstLine="1893"/>
        <w:spacing w:after="0" w:line="217" w:lineRule="auto"/>
        <w:tabs>
          <w:tab w:leader="none" w:pos="2514"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or by the Grantee for Good Reason, in each case after the Grant Date (other than due to a Change in Control Termination), then a pro-rata portion of the RSUs based on a fraction equal to the number of full calendar months that have elapsed from the Grant Date through and inclusive of the termination date divided by 36, less any RSUs that have previously vested and settled prior to the termination date, shall continue to vest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50"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7"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for Cause, then any outstanding RSUs, whether vested or unvested, shall be forfeited and cancelled as of the Grantee’s termination date. 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outstanding RSUs shall immediately be forfeited and cancelled, whether or not vested, as of the date of the Committee’s determination.</w:t>
      </w:r>
    </w:p>
    <w:p>
      <w:pPr>
        <w:spacing w:after="0" w:line="142"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RSUs granted herein are not transferable by the Grantee other than to a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beneficiary upon death, by will or the laws of descent and distribution, to a trust solely for the benefit of the Grantee or his/her immediate family or, in the case of the RSUs being held by such a trust,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19"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00" w:hanging="321"/>
        <w:spacing w:after="0"/>
        <w:tabs>
          <w:tab w:leader="none" w:pos="1900"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b w:val="1"/>
          <w:bCs w:val="1"/>
          <w:color w:val="auto"/>
        </w:rPr>
      </w:pPr>
    </w:p>
    <w:p>
      <w:pPr>
        <w:jc w:val="both"/>
        <w:ind w:firstLine="1893"/>
        <w:spacing w:after="0" w:line="251" w:lineRule="auto"/>
        <w:tabs>
          <w:tab w:leader="none" w:pos="2344"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88" w:lineRule="exact"/>
        <w:rPr>
          <w:sz w:val="20"/>
          <w:szCs w:val="20"/>
          <w:color w:val="auto"/>
        </w:rPr>
      </w:pPr>
    </w:p>
    <w:p>
      <w:pPr>
        <w:jc w:val="both"/>
        <w:ind w:firstLine="1893"/>
        <w:spacing w:after="0" w:line="270" w:lineRule="auto"/>
        <w:tabs>
          <w:tab w:leader="none" w:pos="234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RSUs (whether vested or unvested) and any issuance of shares of Stock that occurs after (or within six (6) months before) any such violation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1893"/>
        <w:spacing w:after="0" w:line="264" w:lineRule="auto"/>
        <w:tabs>
          <w:tab w:leader="none" w:pos="240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73" w:lineRule="exact"/>
        <w:rPr>
          <w:rFonts w:ascii="Times New Roman" w:cs="Times New Roman" w:eastAsia="Times New Roman" w:hAnsi="Times New Roman"/>
          <w:sz w:val="21"/>
          <w:szCs w:val="21"/>
          <w:color w:val="auto"/>
        </w:rPr>
      </w:pPr>
    </w:p>
    <w:p>
      <w:pPr>
        <w:jc w:val="both"/>
        <w:ind w:firstLine="1893"/>
        <w:spacing w:after="0" w:line="255" w:lineRule="auto"/>
        <w:tabs>
          <w:tab w:leader="none" w:pos="217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1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1579"/>
        <w:spacing w:after="0" w:line="225" w:lineRule="auto"/>
        <w:tabs>
          <w:tab w:leader="none" w:pos="1954"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RSUs shall have no rights as a stockholder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share of Stock covered by the 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77"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8" w:lineRule="auto"/>
        <w:tabs>
          <w:tab w:leader="none" w:pos="1888"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5" w:lineRule="auto"/>
        <w:tabs>
          <w:tab w:leader="none" w:pos="1888"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RSUs are subject to the terms of Plan, and the NQDC Plan if the 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1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b w:val="1"/>
          <w:bCs w:val="1"/>
          <w:color w:val="auto"/>
        </w:rPr>
        <w:t>Exhibit 10.50</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1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w:t>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   </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6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RESTRICTED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1259"/>
        <w:spacing w:after="0" w:line="258"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81"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14" w:lineRule="exact"/>
        <w:rPr>
          <w:sz w:val="20"/>
          <w:szCs w:val="20"/>
          <w:color w:val="auto"/>
        </w:rPr>
      </w:pPr>
    </w:p>
    <w:p>
      <w:pPr>
        <w:ind w:left="1900" w:hanging="321"/>
        <w:spacing w:after="0"/>
        <w:tabs>
          <w:tab w:leader="none" w:pos="190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30" w:lineRule="auto"/>
        <w:tabs>
          <w:tab w:leader="none" w:pos="251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7" w:lineRule="auto"/>
        <w:tabs>
          <w:tab w:leader="none" w:pos="251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any of the following: (i) Grantee’s failure to perform in any material respect his or her duties as an employee of the Company, (ii) Grantee’s violation of the Company’s Code of Business Conduct, Code of Ethics for Senior Financial Officers and Principal Executive Officer, and/or Securities Trading Policy, (iii) the engaging by Grantee in willful misconduct or gross negligence which is injurious to the Company or any of its affiliates, monetarily or otherwise, (iv) the commission by the Grantee of an act of fraud or embezzlement against the Company or any of its affiliates, (v) the conviction of the Grantee of a crime which constitutes a felony or any lesser crime that involves Company property or a pleading of guilty or nolo contendere with respect to a crime which constitutes a felony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lesser crime that involves Company property. or (vi) violation of any of the restrictive covenants in Section 9 hereof</w:t>
      </w:r>
    </w:p>
    <w:p>
      <w:pPr>
        <w:spacing w:after="0" w:line="178" w:lineRule="exact"/>
        <w:rPr>
          <w:sz w:val="20"/>
          <w:szCs w:val="20"/>
          <w:color w:val="auto"/>
        </w:rPr>
      </w:pPr>
    </w:p>
    <w:p>
      <w:pPr>
        <w:ind w:left="2520" w:hanging="627"/>
        <w:spacing w:after="0"/>
        <w:tabs>
          <w:tab w:leader="none" w:pos="25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“Person”)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3" w:lineRule="auto"/>
        <w:tabs>
          <w:tab w:leader="none" w:pos="3147"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55"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Company’s termination of the Grantee’s Service without Cause (other than due to death or Disability) during the Protection Period.</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Grantee’s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in its sole discretion, may treat periods of less than full time employment, in whole or in part, as not interrupting or terminating Credited Service.</w:t>
      </w:r>
    </w:p>
    <w:p>
      <w:pPr>
        <w:spacing w:after="0" w:line="14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RSU grant as set forth above. </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9"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1893"/>
        <w:spacing w:after="0" w:line="241" w:lineRule="auto"/>
        <w:tabs>
          <w:tab w:leader="none" w:pos="2506"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means the restricted stock unit granted under Section 2.</w:t>
      </w:r>
    </w:p>
    <w:p>
      <w:pPr>
        <w:spacing w:after="0" w:line="178"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0" w:lineRule="exact"/>
        <w:rPr>
          <w:rFonts w:ascii="Times New Roman" w:cs="Times New Roman" w:eastAsia="Times New Roman" w:hAnsi="Times New Roman"/>
          <w:sz w:val="21"/>
          <w:szCs w:val="21"/>
          <w:color w:val="auto"/>
        </w:rPr>
      </w:pPr>
    </w:p>
    <w:p>
      <w:pPr>
        <w:ind w:firstLine="1579"/>
        <w:spacing w:after="0" w:line="245" w:lineRule="auto"/>
        <w:tabs>
          <w:tab w:leader="none" w:pos="1888"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grants to the Grantee an aggregate number of Restricted Stock Units (“RSUs”) as set forth above.</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18" w:lineRule="auto"/>
        <w:tabs>
          <w:tab w:leader="none" w:pos="1888"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RSUs may be settled until they shall have vested. Except as otherwise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or in the Plan, the RSUs will vest in three tranches on each of the first, second and third anniversaries of the Grant Date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the Grantee’s provision of three periods of Credited Service. The first tranche, equal to 33% of the RSUs granted, will vest on the first anniversary of the Grant Date and the Grantee’s provision of one period of Credited Service. The second tranche, equal to 33% of the RSUs granted, will vest on the second anniversary of the Grant Date and the Grantee’s provision of a second period of Credited Service. The final tranche, equal to 34% of the RSUs granted, will vest on the third anniversary of the Grant Date and the Grantee’s provision of a third period of Credited Service.</w:t>
      </w:r>
    </w:p>
    <w:p>
      <w:pPr>
        <w:spacing w:after="0" w:line="143"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17" w:lineRule="auto"/>
        <w:tabs>
          <w:tab w:leader="none" w:pos="251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for such RSU (or as soon as practicable thereafter), provided, however, if there is an accelerated vesting of all or a portion of the RSUs under Section 6 hereof, then the Settlement Date for any such accelerated RSUs shall be the date on which it is determined that the conditions to acceleration have been met or (ii) the end of the deferral period specified by the Grantee. The deferral period shall be no less than four (4) years and five (5) days from the Grant Date. Such deferral election shall be made within 30 days of the Grant Date. The deferral of RSUs shall be subject to the NQDC Plan and the applicable deferral election.</w:t>
      </w:r>
    </w:p>
    <w:p>
      <w:pPr>
        <w:spacing w:after="0" w:line="150"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1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equivalents, the Grantee shall not have any rights as a holder of the shares of Stock underlying this Grant including but not limited to voting rights.</w:t>
      </w:r>
    </w:p>
    <w:p>
      <w:pPr>
        <w:spacing w:after="0" w:line="144" w:lineRule="exact"/>
        <w:rPr>
          <w:sz w:val="20"/>
          <w:szCs w:val="20"/>
          <w:color w:val="auto"/>
        </w:rPr>
      </w:pPr>
    </w:p>
    <w:p>
      <w:pPr>
        <w:jc w:val="both"/>
        <w:ind w:firstLine="1893"/>
        <w:spacing w:after="0" w:line="221" w:lineRule="auto"/>
        <w:tabs>
          <w:tab w:leader="none" w:pos="2513"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RSU or from any compensation or other amounts owing to the Grantee the amount (in cash, Stock or other property) of any required tax withholding and payroll taxes in respect of an RSU vesting or settlement and to take such other action as may be necessary in the opinion of the Company to satisfy all obligations for the payment of such taxes.</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RSU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RSUs credited to the Grantee shall, as of such date, be increased by an amount determined by the following formula:</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RSUs to be credited to the Grantee on such dividend payment date;</w:t>
      </w:r>
    </w:p>
    <w:p>
      <w:pPr>
        <w:spacing w:after="0" w:line="217" w:lineRule="exact"/>
        <w:rPr>
          <w:sz w:val="20"/>
          <w:szCs w:val="20"/>
          <w:color w:val="auto"/>
        </w:rPr>
      </w:pPr>
    </w:p>
    <w:p>
      <w:pPr>
        <w:ind w:left="1900"/>
        <w:spacing w:after="0" w:line="293" w:lineRule="auto"/>
        <w:rPr>
          <w:sz w:val="20"/>
          <w:szCs w:val="20"/>
          <w:color w:val="auto"/>
        </w:rPr>
      </w:pPr>
      <w:r>
        <w:rPr>
          <w:rFonts w:ascii="Times New Roman" w:cs="Times New Roman" w:eastAsia="Times New Roman" w:hAnsi="Times New Roman"/>
          <w:sz w:val="21"/>
          <w:szCs w:val="21"/>
          <w:color w:val="auto"/>
        </w:rPr>
        <w:t>X = the aggregate number of RSUs (whether vested or unvested) credited to the Grantee as of the record date of the dividend;</w:t>
      </w:r>
    </w:p>
    <w:p>
      <w:pPr>
        <w:spacing w:after="0" w:line="1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187" w:lineRule="exact"/>
        <w:rPr>
          <w:sz w:val="20"/>
          <w:szCs w:val="20"/>
          <w:color w:val="auto"/>
        </w:rPr>
      </w:pPr>
    </w:p>
    <w:p>
      <w:pPr>
        <w:ind w:left="1900" w:hanging="321"/>
        <w:spacing w:after="0"/>
        <w:tabs>
          <w:tab w:leader="none" w:pos="190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vested RSUs shall be settled in accordance with Section 4, and any unvested RSUs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RSUs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Settlement Date, then on the date of the Grantee’s termination (or, if later, on the effective date of the Change in Control), 100% of the RSUs shall become immediately vested and settled according to Section 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1893"/>
        <w:spacing w:after="0" w:line="217" w:lineRule="auto"/>
        <w:tabs>
          <w:tab w:leader="none" w:pos="2513"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 and prior to third anniversary of the Grant Date), 100% of the RSUs shall become immediately vested and, regardless of the Grantee’s deferral election, the Company as soon as reasonably practicable shall issue shares of Stock to the Grantee (or the Grantee’s designated beneficiary or estate executor in the event of the Grantee’s death) with respect to the RSUs that have vested hereunder but for which shares of Stock had not yet been issued to the Grantee. The Committee may also, in its sole discretion, delegate authority to the Executive Officers to make the determination that a Grantee has become Disabled, and such determination shall have the same effect as if such determination was made by the Committee.</w:t>
      </w:r>
    </w:p>
    <w:p>
      <w:pPr>
        <w:spacing w:after="0" w:line="150"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after the Grant Date (other than due to a Change in Control Termination), then a pro-rata portion of the RSUs based on a fraction equal to the number of full calendar months that have elapsed from the Grant Date through and inclusive of the termination date divided by 36, less any RSUs that have previously vested and settled prior to the termination date, shall continue to vest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7"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for Cause, then any outstanding RSUs, whether vested or unvested, shall be forfeited and cancelled as of the Grantee’s termination date. 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outstanding RSUs shall immediately be forfeited and cancelled, whether or not vested, as of the date of the Committee’s determination.</w:t>
      </w:r>
    </w:p>
    <w:p>
      <w:pPr>
        <w:spacing w:after="0" w:line="142"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RSUs granted herein are not transferable by the Grantee other than to a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beneficiary upon death, by will or the laws of descent and distribution, to a trust solely for the benefit of the Grantee or his/her immediate family or, in the case of the RSUs being held by such a trust, by the trustee.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b w:val="1"/>
          <w:bCs w:val="1"/>
          <w:color w:val="auto"/>
        </w:rPr>
      </w:pPr>
    </w:p>
    <w:p>
      <w:pPr>
        <w:jc w:val="both"/>
        <w:ind w:firstLine="1893"/>
        <w:spacing w:after="0" w:line="259" w:lineRule="auto"/>
        <w:tabs>
          <w:tab w:leader="none" w:pos="2344"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88" w:lineRule="exact"/>
        <w:rPr>
          <w:sz w:val="20"/>
          <w:szCs w:val="20"/>
          <w:color w:val="auto"/>
        </w:rPr>
      </w:pPr>
    </w:p>
    <w:p>
      <w:pPr>
        <w:jc w:val="both"/>
        <w:ind w:firstLine="1893"/>
        <w:spacing w:after="0" w:line="264" w:lineRule="auto"/>
        <w:tabs>
          <w:tab w:leader="none" w:pos="2343"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RSUs (whether vested or unvested) and any issuance of shares of Stock that occurs after (or within six (6) months before) any such violation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893"/>
        <w:spacing w:after="0" w:line="270" w:lineRule="auto"/>
        <w:tabs>
          <w:tab w:leader="none" w:pos="2409"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55" w:lineRule="exact"/>
        <w:rPr>
          <w:rFonts w:ascii="Times New Roman" w:cs="Times New Roman" w:eastAsia="Times New Roman" w:hAnsi="Times New Roman"/>
          <w:sz w:val="21"/>
          <w:szCs w:val="21"/>
          <w:color w:val="auto"/>
        </w:rPr>
      </w:pPr>
    </w:p>
    <w:p>
      <w:pPr>
        <w:jc w:val="both"/>
        <w:ind w:firstLine="1893"/>
        <w:spacing w:after="0" w:line="259" w:lineRule="auto"/>
        <w:tabs>
          <w:tab w:leader="none" w:pos="2212"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35" w:lineRule="exact"/>
        <w:rPr>
          <w:rFonts w:ascii="Times New Roman" w:cs="Times New Roman" w:eastAsia="Times New Roman" w:hAnsi="Times New Roman"/>
          <w:sz w:val="21"/>
          <w:szCs w:val="21"/>
          <w:color w:val="auto"/>
        </w:rPr>
      </w:pPr>
    </w:p>
    <w:p>
      <w:pPr>
        <w:jc w:val="both"/>
        <w:ind w:firstLine="1579"/>
        <w:spacing w:after="0" w:line="225" w:lineRule="auto"/>
        <w:tabs>
          <w:tab w:leader="none" w:pos="1954"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RSUs shall have no rights as a stockholder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share of Stock covered by the 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77"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4" w:lineRule="exact"/>
        <w:rPr>
          <w:sz w:val="20"/>
          <w:szCs w:val="20"/>
          <w:color w:val="auto"/>
        </w:rPr>
      </w:pPr>
    </w:p>
    <w:p>
      <w:pPr>
        <w:jc w:val="both"/>
        <w:ind w:firstLine="1579"/>
        <w:spacing w:after="0" w:line="218" w:lineRule="auto"/>
        <w:tabs>
          <w:tab w:leader="none" w:pos="188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5" w:lineRule="auto"/>
        <w:tabs>
          <w:tab w:leader="none" w:pos="188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RSUs are subject to the terms of Plan, and the NQDC Plan if the 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10.51</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6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RESTRICTED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1259"/>
        <w:spacing w:after="0" w:line="258"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81"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14" w:lineRule="exact"/>
        <w:rPr>
          <w:sz w:val="20"/>
          <w:szCs w:val="20"/>
          <w:color w:val="auto"/>
        </w:rPr>
      </w:pPr>
    </w:p>
    <w:p>
      <w:pPr>
        <w:ind w:left="1900" w:hanging="321"/>
        <w:spacing w:after="0"/>
        <w:tabs>
          <w:tab w:leader="none" w:pos="190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30" w:lineRule="auto"/>
        <w:tabs>
          <w:tab w:leader="none" w:pos="251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7" w:lineRule="auto"/>
        <w:tabs>
          <w:tab w:leader="none" w:pos="251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any of the following: (i) Grantee’s failure to perform in any material respect his or her duties as an employee of the Company, (ii) Grantee’s violation of the Company’s Code of Business Conduct, Code of Ethics for Senior Financial Officers and Principal Executive Officer, and/or Securities Trading Policy, (iii) the engaging by Grantee in willful misconduct or gross negligence which is injurious to the Company or any of its affiliates, monetarily or otherwise, (iv) the commission by the Grantee of an act of fraud or embezzlement against the Company or any of its affiliates, (v) the conviction of the Grantee of a crime which constitutes a felony or any lesser crime that involves Company property or a pleading of guilty or nolo contendere with respect to a crime which constitutes a felony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lesser crime that involves Company property. or (vi) violation of any of the restrictive covenants in Section 9 hereof</w:t>
      </w:r>
    </w:p>
    <w:p>
      <w:pPr>
        <w:spacing w:after="0" w:line="178" w:lineRule="exact"/>
        <w:rPr>
          <w:sz w:val="20"/>
          <w:szCs w:val="20"/>
          <w:color w:val="auto"/>
        </w:rPr>
      </w:pPr>
    </w:p>
    <w:p>
      <w:pPr>
        <w:ind w:left="2520" w:hanging="627"/>
        <w:spacing w:after="0"/>
        <w:tabs>
          <w:tab w:leader="none" w:pos="25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“Person”)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3" w:lineRule="auto"/>
        <w:tabs>
          <w:tab w:leader="none" w:pos="3147"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55"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Company’s termination of the Grantee’s Service without Cause (other than due to death or Disability) during the Protection Period.</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Grantee’s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in its sole discretion, may treat periods of less than full time employment, in whole or in part, as not interrupting or terminating Credited Service.</w:t>
      </w:r>
    </w:p>
    <w:p>
      <w:pPr>
        <w:spacing w:after="0" w:line="14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RSU grant as set forth above. </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9"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1893"/>
        <w:spacing w:after="0" w:line="241" w:lineRule="auto"/>
        <w:tabs>
          <w:tab w:leader="none" w:pos="250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means the restricted stock unit granted under Section 2.</w:t>
      </w:r>
    </w:p>
    <w:p>
      <w:pPr>
        <w:spacing w:after="0" w:line="178"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0" w:lineRule="exact"/>
        <w:rPr>
          <w:rFonts w:ascii="Times New Roman" w:cs="Times New Roman" w:eastAsia="Times New Roman" w:hAnsi="Times New Roman"/>
          <w:sz w:val="21"/>
          <w:szCs w:val="21"/>
          <w:color w:val="auto"/>
        </w:rPr>
      </w:pPr>
    </w:p>
    <w:p>
      <w:pPr>
        <w:ind w:firstLine="1579"/>
        <w:spacing w:after="0" w:line="245" w:lineRule="auto"/>
        <w:tabs>
          <w:tab w:leader="none" w:pos="1888"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grants to the Grantee an aggregate number of Restricted Stock Units (“RSUs”) as set forth above.</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RSUs may be settled until they shall have vested. Except as otherwise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or in the Plan, the RSUs will vest in one tranche on the first anniversary of the Grant Date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the Grantee’s provision of one period of Credited Service.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17" w:lineRule="auto"/>
        <w:tabs>
          <w:tab w:leader="none" w:pos="2514"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for such RSU (or as soon as practicable thereafter), provided, however, if there is an accelerated vesting of all or a portion of the RSUs under Section 6 hereof, then the Settlement Date for any such accelerated RSUs shall be the date on which it is determined that the conditions to acceleration have been met or (ii) the end of the deferral period specified by the Grantee. The deferral period shall be no less than four (4) years and five (5) days from the Grant Date. Such deferral election shall be made within 30 days of the Grant Date. The deferral of RSUs shall be subject to the NQDC Plan and the applicable deferral election.</w:t>
      </w:r>
    </w:p>
    <w:p>
      <w:pPr>
        <w:spacing w:after="0" w:line="150"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4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3"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RSU or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9"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compensation or other amounts owing to the Grantee the amount (in cash, Stock or other property) of any required tax withholding and payroll taxes in respect of an RSU vesting or settlement and to take such other action as may be necessary in the opinion of the Company to satisfy all obligations for the payment of such taxes.</w:t>
      </w:r>
    </w:p>
    <w:p>
      <w:pPr>
        <w:spacing w:after="0" w:line="145" w:lineRule="exact"/>
        <w:rPr>
          <w:sz w:val="20"/>
          <w:szCs w:val="20"/>
          <w:color w:val="auto"/>
        </w:rPr>
      </w:pPr>
    </w:p>
    <w:p>
      <w:pPr>
        <w:jc w:val="both"/>
        <w:ind w:firstLine="1893"/>
        <w:spacing w:after="0" w:line="224" w:lineRule="auto"/>
        <w:tabs>
          <w:tab w:leader="none" w:pos="2514"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RSU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RSUs credited to the Grantee shall, as of such date, be increased by an amount determined by the following formula:</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RSUs to be credited to the Grantee on such dividend payment date;</w:t>
      </w:r>
    </w:p>
    <w:p>
      <w:pPr>
        <w:spacing w:after="0" w:line="217" w:lineRule="exact"/>
        <w:rPr>
          <w:sz w:val="20"/>
          <w:szCs w:val="20"/>
          <w:color w:val="auto"/>
        </w:rPr>
      </w:pPr>
    </w:p>
    <w:p>
      <w:pPr>
        <w:ind w:left="1900"/>
        <w:spacing w:after="0" w:line="293" w:lineRule="auto"/>
        <w:rPr>
          <w:sz w:val="20"/>
          <w:szCs w:val="20"/>
          <w:color w:val="auto"/>
        </w:rPr>
      </w:pPr>
      <w:r>
        <w:rPr>
          <w:rFonts w:ascii="Times New Roman" w:cs="Times New Roman" w:eastAsia="Times New Roman" w:hAnsi="Times New Roman"/>
          <w:sz w:val="21"/>
          <w:szCs w:val="21"/>
          <w:color w:val="auto"/>
        </w:rPr>
        <w:t>X = the aggregate number of RSUs (whether vested or unvested) credited to the Grantee as of the record date of the dividend;</w:t>
      </w:r>
    </w:p>
    <w:p>
      <w:pPr>
        <w:spacing w:after="0" w:line="1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187" w:lineRule="exact"/>
        <w:rPr>
          <w:sz w:val="20"/>
          <w:szCs w:val="20"/>
          <w:color w:val="auto"/>
        </w:rPr>
      </w:pPr>
    </w:p>
    <w:p>
      <w:pPr>
        <w:ind w:left="1900" w:hanging="321"/>
        <w:spacing w:after="0"/>
        <w:tabs>
          <w:tab w:leader="none" w:pos="1900"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vested RSUs shall be settled in accordance with Section 4, and any unvested RSUs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RSUs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Settlement Date, then on the date of the Grantee’s termination (or, if later, on the effective date of the Change in Control), 100% of the RSUs shall become immediately vested and settled according to Section 4 hereof.</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 and prior to third anniversary of the Grant Date), 100% of the RSUs shall become immediately vested and, regardless of the Grantee’s deferral election, the Company as soon as reasonably practicable shall issue shares of Stock to the Grantee (or the Grantee’s designated beneficiary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9"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estate executor in the event of the Grantee’s death) with respect to the RSUs that have vested hereunder but for which shares of Stock had not yet been issued to the Grantee. The Committee may also, in its sole discretion, delegate authority to the Executive Officers to make the determination that a Grantee has become Disabled, and such determination shall have the same effect as if such determination was made by the Committee.</w:t>
      </w:r>
    </w:p>
    <w:p>
      <w:pPr>
        <w:spacing w:after="0" w:line="148" w:lineRule="exact"/>
        <w:rPr>
          <w:sz w:val="20"/>
          <w:szCs w:val="20"/>
          <w:color w:val="auto"/>
        </w:rPr>
      </w:pPr>
    </w:p>
    <w:p>
      <w:pPr>
        <w:jc w:val="both"/>
        <w:ind w:firstLine="1893"/>
        <w:spacing w:after="0" w:line="219" w:lineRule="auto"/>
        <w:tabs>
          <w:tab w:leader="none" w:pos="2514"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after the Grant Date (other than due to a Change in Control Termination), then a pro-rata portion of the RSUs based on a fraction equal to the number of full calendar months that have elapsed from the Grant Date through and inclusive of the termination date divided by 12, less any RSUs that have previously vested and settled prior to the termination date, shall continue to vest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7"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for Cause, then any outstanding RSUs, whether vested or unvested, shall be forfeited and cancelled as of the Grantee’s termination date. 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outstanding RSUs shall immediately be forfeited and cancelled, whether or not vested, as of the date of the Committee’s determination.</w:t>
      </w:r>
    </w:p>
    <w:p>
      <w:pPr>
        <w:spacing w:after="0" w:line="142"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RSUs granted herein are not transferable by the Grantee other than to a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beneficiary upon death, by will or the laws of descent and distribution, to a trust solely for the benefit of the Grantee or his/her immediate family or, in the case of the RSUs being held by such a trust, by the trustee.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b w:val="1"/>
          <w:bCs w:val="1"/>
          <w:color w:val="auto"/>
        </w:rPr>
      </w:pPr>
    </w:p>
    <w:p>
      <w:pPr>
        <w:jc w:val="both"/>
        <w:ind w:firstLine="1893"/>
        <w:spacing w:after="0" w:line="254" w:lineRule="auto"/>
        <w:tabs>
          <w:tab w:leader="none" w:pos="2344"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72" w:lineRule="exact"/>
        <w:rPr>
          <w:sz w:val="20"/>
          <w:szCs w:val="20"/>
          <w:color w:val="auto"/>
        </w:rPr>
      </w:pPr>
    </w:p>
    <w:p>
      <w:pPr>
        <w:jc w:val="both"/>
        <w:ind w:firstLine="1893"/>
        <w:spacing w:after="0" w:line="264" w:lineRule="auto"/>
        <w:tabs>
          <w:tab w:leader="none" w:pos="2343"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RSUs (whether vested or unvested) and any issuance of shares of Stock that occurs after (or within six (6) months before) any such violation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1893"/>
        <w:spacing w:after="0" w:line="270" w:lineRule="auto"/>
        <w:tabs>
          <w:tab w:leader="none" w:pos="2409"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55" w:lineRule="exact"/>
        <w:rPr>
          <w:rFonts w:ascii="Times New Roman" w:cs="Times New Roman" w:eastAsia="Times New Roman" w:hAnsi="Times New Roman"/>
          <w:sz w:val="21"/>
          <w:szCs w:val="21"/>
          <w:color w:val="auto"/>
        </w:rPr>
      </w:pPr>
    </w:p>
    <w:p>
      <w:pPr>
        <w:jc w:val="both"/>
        <w:ind w:firstLine="1893"/>
        <w:spacing w:after="0" w:line="259" w:lineRule="auto"/>
        <w:tabs>
          <w:tab w:leader="none" w:pos="2212"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35" w:lineRule="exact"/>
        <w:rPr>
          <w:rFonts w:ascii="Times New Roman" w:cs="Times New Roman" w:eastAsia="Times New Roman" w:hAnsi="Times New Roman"/>
          <w:sz w:val="21"/>
          <w:szCs w:val="21"/>
          <w:color w:val="auto"/>
        </w:rPr>
      </w:pPr>
    </w:p>
    <w:p>
      <w:pPr>
        <w:jc w:val="both"/>
        <w:ind w:firstLine="1579"/>
        <w:spacing w:after="0" w:line="225" w:lineRule="auto"/>
        <w:tabs>
          <w:tab w:leader="none" w:pos="1954"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RSUs shall have no rights as a stockholder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share of Stock covered by the 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77"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1579"/>
        <w:spacing w:after="0" w:line="218" w:lineRule="auto"/>
        <w:tabs>
          <w:tab w:leader="none" w:pos="188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5" w:lineRule="auto"/>
        <w:tabs>
          <w:tab w:leader="none" w:pos="188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RSUs are subject to the terms of Plan, and the NQDC Plan if the 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10.52</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  </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6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RESTRICTED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1259"/>
        <w:spacing w:after="0" w:line="258"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81"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14" w:lineRule="exact"/>
        <w:rPr>
          <w:sz w:val="20"/>
          <w:szCs w:val="20"/>
          <w:color w:val="auto"/>
        </w:rPr>
      </w:pPr>
    </w:p>
    <w:p>
      <w:pPr>
        <w:ind w:left="1900" w:hanging="321"/>
        <w:spacing w:after="0"/>
        <w:tabs>
          <w:tab w:leader="none" w:pos="1900"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30" w:lineRule="auto"/>
        <w:tabs>
          <w:tab w:leader="none" w:pos="251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7" w:lineRule="auto"/>
        <w:tabs>
          <w:tab w:leader="none" w:pos="251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any of the following: (i) Grantee’s failure to perform in any material respect his or her duties as an employee of the Company, (ii) Grantee’s violation of the Company’s Code of Business Conduct, Code of Ethics for Senior Financial Officers and Principal Executive Officer, and/or Securities Trading Policy, (iii) the engaging by Grantee in willful misconduct or gross negligence which is injurious to the Company or any of its affiliates, monetarily or otherwise, (iv) the commission by the Grantee of an act of fraud or embezzlement against the Company or any of its affiliates, (v) the conviction of the Grantee of a crime which constitutes a felony or any lesser crime that involves Company property or a pleading of guilty or nolo contendere with respect to a crime which constitutes a felony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lesser crime that involves Company property. or (vi) violation of any of the restrictive covenants in Section 9 hereof</w:t>
      </w:r>
    </w:p>
    <w:p>
      <w:pPr>
        <w:spacing w:after="0" w:line="178" w:lineRule="exact"/>
        <w:rPr>
          <w:sz w:val="20"/>
          <w:szCs w:val="20"/>
          <w:color w:val="auto"/>
        </w:rPr>
      </w:pPr>
    </w:p>
    <w:p>
      <w:pPr>
        <w:ind w:left="2520" w:hanging="627"/>
        <w:spacing w:after="0"/>
        <w:tabs>
          <w:tab w:leader="none" w:pos="25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“Person”)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3" w:lineRule="auto"/>
        <w:tabs>
          <w:tab w:leader="none" w:pos="3147"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55"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Company’s termination of the Grantee’s Service without Cause (other than due to death or Disability) during the Protection Period.</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Grantee’s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in its sole discretion, may treat periods of less than full time employment, in whole or in part, as not interrupting or terminating Credited Service.</w:t>
      </w:r>
    </w:p>
    <w:p>
      <w:pPr>
        <w:spacing w:after="0" w:line="14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RSU grant as set forth above. </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1893"/>
        <w:spacing w:after="0" w:line="241" w:lineRule="auto"/>
        <w:tabs>
          <w:tab w:leader="none" w:pos="2506"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means the restricted stock unit granted under Section 2.</w:t>
      </w:r>
    </w:p>
    <w:p>
      <w:pPr>
        <w:spacing w:after="0" w:line="178"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0" w:lineRule="exact"/>
        <w:rPr>
          <w:rFonts w:ascii="Times New Roman" w:cs="Times New Roman" w:eastAsia="Times New Roman" w:hAnsi="Times New Roman"/>
          <w:sz w:val="21"/>
          <w:szCs w:val="21"/>
          <w:color w:val="auto"/>
        </w:rPr>
      </w:pPr>
    </w:p>
    <w:p>
      <w:pPr>
        <w:ind w:firstLine="1579"/>
        <w:spacing w:after="0" w:line="245" w:lineRule="auto"/>
        <w:tabs>
          <w:tab w:leader="none" w:pos="1888"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grants to the Grantee an aggregate number of Restricted Stock Units (“RSUs”) as set forth above.</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RSUs may be settled until they shall have vested. Except as otherwise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or in the Plan, the RSUs will vest in two tranches on each of the first and second anniversaries of the Grant Date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the Grantee’s provision of two periods of Credited Service. The first tranche, equal to 50% of the RSUs granted, will vest on the first anniversary of the Grant Date and the Grantee’s provision of one period of Credited Service. The second tranche, equal to 50% of the RSUs granted, will vest on the second anniversary of the Grant Date and the Grantee’s provision of a second period of Credited Service.</w:t>
      </w:r>
    </w:p>
    <w:p>
      <w:pPr>
        <w:spacing w:after="0" w:line="146"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17" w:lineRule="auto"/>
        <w:tabs>
          <w:tab w:leader="none" w:pos="251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for such RSU (or as soon as practicable thereafter), provided, however, if there is an accelerated vesting of all or a portion of the RSUs under Section 6 hereof, then the Settlement Date for any such accelerated RSUs shall be the date on which it is determined that the conditions to acceleration have been met or (ii) the end of the deferral period specified by the Grantee. The deferral period shall be no less than four (4) years and five (5) days from the Grant Date. Such deferral election shall be made within 30 days of the Grant Date. The deferral of RSUs shall be subject to the NQDC Plan and the applicable deferral election.</w:t>
      </w:r>
    </w:p>
    <w:p>
      <w:pPr>
        <w:spacing w:after="0" w:line="150"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1893"/>
        <w:spacing w:after="0" w:line="221" w:lineRule="auto"/>
        <w:tabs>
          <w:tab w:leader="none" w:pos="2513"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RSU or from any compensation or other amounts owing to the Grantee the amount (in cash, Stock or other property) of any required tax withholding and payroll taxes in respect of an RSU vesting or settlement and to take such other action as may be necessary in the opinion of the Company to satisfy all obligations for the payment of such taxes.</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RSU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RSUs credited to the Grantee shall, as of such date, be increased by an amount determined by the following formula:</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RSUs to be credited to the Grantee on such dividend payment date;</w:t>
      </w:r>
    </w:p>
    <w:p>
      <w:pPr>
        <w:spacing w:after="0" w:line="217" w:lineRule="exact"/>
        <w:rPr>
          <w:sz w:val="20"/>
          <w:szCs w:val="20"/>
          <w:color w:val="auto"/>
        </w:rPr>
      </w:pPr>
    </w:p>
    <w:p>
      <w:pPr>
        <w:ind w:left="1900"/>
        <w:spacing w:after="0" w:line="293" w:lineRule="auto"/>
        <w:rPr>
          <w:sz w:val="20"/>
          <w:szCs w:val="20"/>
          <w:color w:val="auto"/>
        </w:rPr>
      </w:pPr>
      <w:r>
        <w:rPr>
          <w:rFonts w:ascii="Times New Roman" w:cs="Times New Roman" w:eastAsia="Times New Roman" w:hAnsi="Times New Roman"/>
          <w:sz w:val="21"/>
          <w:szCs w:val="21"/>
          <w:color w:val="auto"/>
        </w:rPr>
        <w:t>X = the aggregate number of RSUs (whether vested or unvested) credited to the Grantee as of the record date of the dividend;</w:t>
      </w:r>
    </w:p>
    <w:p>
      <w:pPr>
        <w:spacing w:after="0" w:line="1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187" w:lineRule="exact"/>
        <w:rPr>
          <w:sz w:val="20"/>
          <w:szCs w:val="20"/>
          <w:color w:val="auto"/>
        </w:rPr>
      </w:pPr>
    </w:p>
    <w:p>
      <w:pPr>
        <w:ind w:left="1900" w:hanging="321"/>
        <w:spacing w:after="0"/>
        <w:tabs>
          <w:tab w:leader="none" w:pos="1900"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vested RSUs shall be settled in accordance with Section 4, and any unvested RSUs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RSUs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Settlement Date, then on the date of the Grantee’s termination (or, if later, on the effective date of the Change in Control), 100% of the RSUs shall become immediately vested and settled according to Section 4 hereof.</w:t>
      </w:r>
    </w:p>
    <w:p>
      <w:pPr>
        <w:spacing w:after="0" w:line="144"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9"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and prior to third anniversary of the Grant Date), 100% of the RSUs shall become immediately vested and, regardless of the Grantee’s deferral election, the Company as soon as reasonably practicable shall issue shares of Stock to the Grantee (or the Grantee’s designated beneficiary or estate executor in the event of the Grantee’s death) with respect to the RSUs that have vested hereunder but for which shares of Stock had not yet been issued to the Grantee. The Committee may also, in its sole discretion, delegate authority to the Executive Officers to make the determination that a Grantee has become Disabled, and such determination shall have the same effect as if such determination was made by the Committee.</w:t>
      </w:r>
    </w:p>
    <w:p>
      <w:pPr>
        <w:spacing w:after="0" w:line="147" w:lineRule="exact"/>
        <w:rPr>
          <w:sz w:val="20"/>
          <w:szCs w:val="20"/>
          <w:color w:val="auto"/>
        </w:rPr>
      </w:pPr>
    </w:p>
    <w:p>
      <w:pPr>
        <w:jc w:val="both"/>
        <w:ind w:firstLine="1893"/>
        <w:spacing w:after="0" w:line="219" w:lineRule="auto"/>
        <w:tabs>
          <w:tab w:leader="none" w:pos="2514"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after the Grant Date (other than due to a Change in Control Termination), then a pro-rata portion of the RSUs based on a fraction equal to the number of full calendar months that have elapsed from the Grant Date through and inclusive of the termination date divided by 24, less any RSUs that have previously vested and settled prior to the termination date, shall continue to vest according to the schedule established in Section 3 as though the Grantee’s Service had not terminated (and, for the sake of clarity, as though the Grantee met all Credited Service requirements), and such 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7"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for Cause, then any outstanding RSUs, whether vested or unvested, shall be forfeited and cancelled as of the Grantee’s termination date. 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outstanding RSUs shall immediately be forfeited and cancelled, whether or not vested, as of the date of the Committee’s determination.</w:t>
      </w:r>
    </w:p>
    <w:p>
      <w:pPr>
        <w:spacing w:after="0" w:line="142"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RSUs granted herein are not transferable by the Grantee other than to a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beneficiary upon death, by will or the laws of descent and distribution, to a trust solely for the benefit of the Grantee or his/her immediate family or, in the case of the RSUs being held by such a trust, by the trustee.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208" w:lineRule="exact"/>
        <w:rPr>
          <w:rFonts w:ascii="Times New Roman" w:cs="Times New Roman" w:eastAsia="Times New Roman" w:hAnsi="Times New Roman"/>
          <w:sz w:val="21"/>
          <w:szCs w:val="21"/>
          <w:b w:val="1"/>
          <w:bCs w:val="1"/>
          <w:color w:val="auto"/>
        </w:rPr>
      </w:pPr>
    </w:p>
    <w:p>
      <w:pPr>
        <w:jc w:val="both"/>
        <w:ind w:firstLine="1893"/>
        <w:spacing w:after="0" w:line="256" w:lineRule="auto"/>
        <w:tabs>
          <w:tab w:leader="none" w:pos="2344"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9"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79" w:lineRule="exact"/>
        <w:rPr>
          <w:sz w:val="20"/>
          <w:szCs w:val="20"/>
          <w:color w:val="auto"/>
        </w:rPr>
      </w:pPr>
    </w:p>
    <w:p>
      <w:pPr>
        <w:jc w:val="both"/>
        <w:ind w:firstLine="1893"/>
        <w:spacing w:after="0" w:line="270" w:lineRule="auto"/>
        <w:tabs>
          <w:tab w:leader="none" w:pos="2343"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RSUs (whether vested or unvested) and any issuance of shares of Stock that occurs after (or within six (6) months before) any such violation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1893"/>
        <w:spacing w:after="0" w:line="264" w:lineRule="auto"/>
        <w:tabs>
          <w:tab w:leader="none" w:pos="2409"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73" w:lineRule="exact"/>
        <w:rPr>
          <w:rFonts w:ascii="Times New Roman" w:cs="Times New Roman" w:eastAsia="Times New Roman" w:hAnsi="Times New Roman"/>
          <w:sz w:val="21"/>
          <w:szCs w:val="21"/>
          <w:color w:val="auto"/>
        </w:rPr>
      </w:pPr>
    </w:p>
    <w:p>
      <w:pPr>
        <w:jc w:val="both"/>
        <w:ind w:firstLine="1893"/>
        <w:spacing w:after="0" w:line="255" w:lineRule="auto"/>
        <w:tabs>
          <w:tab w:leader="none" w:pos="2212"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55" w:lineRule="exact"/>
        <w:rPr>
          <w:rFonts w:ascii="Times New Roman" w:cs="Times New Roman" w:eastAsia="Times New Roman" w:hAnsi="Times New Roman"/>
          <w:sz w:val="21"/>
          <w:szCs w:val="21"/>
          <w:color w:val="auto"/>
        </w:rPr>
      </w:pPr>
    </w:p>
    <w:p>
      <w:pPr>
        <w:jc w:val="both"/>
        <w:ind w:firstLine="1579"/>
        <w:spacing w:after="0" w:line="225" w:lineRule="auto"/>
        <w:tabs>
          <w:tab w:leader="none" w:pos="1954"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RSUs shall have no rights as a stockholder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any share of Stock covered by the 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77"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9"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0" w:lineRule="exact"/>
        <w:rPr>
          <w:sz w:val="20"/>
          <w:szCs w:val="20"/>
          <w:color w:val="auto"/>
        </w:rPr>
      </w:pPr>
    </w:p>
    <w:p>
      <w:pPr>
        <w:jc w:val="both"/>
        <w:ind w:firstLine="1579"/>
        <w:spacing w:after="0" w:line="218" w:lineRule="auto"/>
        <w:tabs>
          <w:tab w:leader="none" w:pos="188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5" w:lineRule="auto"/>
        <w:tabs>
          <w:tab w:leader="none" w:pos="188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RSUs are subject to the terms of Plan, and the NQDC Plan if the 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auto"/>
        </w:rPr>
        <w:t>Exhibit 10.53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RESTRICTED STOCK UNIT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(ADJUSTED EBITDA PERFORMANCE)</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10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PERFORMANCE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1259"/>
        <w:spacing w:after="0" w:line="254"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receive shares of the Company’s common stock, par value $0.01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58"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28" w:lineRule="exact"/>
        <w:rPr>
          <w:sz w:val="20"/>
          <w:szCs w:val="20"/>
          <w:color w:val="auto"/>
        </w:rPr>
      </w:pPr>
    </w:p>
    <w:p>
      <w:pPr>
        <w:ind w:left="1900" w:hanging="321"/>
        <w:spacing w:after="0"/>
        <w:tabs>
          <w:tab w:leader="none" w:pos="1900"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19" w:lineRule="auto"/>
        <w:tabs>
          <w:tab w:leader="none" w:pos="251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EBITDA</w:t>
      </w:r>
      <w:r>
        <w:rPr>
          <w:rFonts w:ascii="Times New Roman" w:cs="Times New Roman" w:eastAsia="Times New Roman" w:hAnsi="Times New Roman"/>
          <w:sz w:val="21"/>
          <w:szCs w:val="21"/>
          <w:color w:val="auto"/>
        </w:rPr>
        <w:t>” means for the Company and its wholly owned Subsidiaries on a consolidated basis, net income (loss) plus interest expense (net of interest income), income taxes, depreciation and amortization, acquisition related costs, stock-based compensation expense, integration expenses, debt refinancing and other corporate reorganizational costs, extraordinary legal costs (including damages, settlements and attorney’s fees), changes in GAAP treatment of revenue/expenses, discontinued operations, goodwill and other identified intangible asset impairments and expenses resulting from severance arrangements with terminated employees, and net income (loss) from discontinued operations, net of taxes.</w:t>
      </w:r>
    </w:p>
    <w:p>
      <w:pPr>
        <w:spacing w:after="0" w:line="146" w:lineRule="exact"/>
        <w:rPr>
          <w:rFonts w:ascii="Times New Roman" w:cs="Times New Roman" w:eastAsia="Times New Roman" w:hAnsi="Times New Roman"/>
          <w:sz w:val="21"/>
          <w:szCs w:val="21"/>
          <w:color w:val="auto"/>
        </w:rPr>
      </w:pPr>
    </w:p>
    <w:p>
      <w:pPr>
        <w:jc w:val="both"/>
        <w:ind w:firstLine="1893"/>
        <w:spacing w:after="0" w:line="216" w:lineRule="auto"/>
        <w:tabs>
          <w:tab w:leader="none" w:pos="2513"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EBITDA Growth Rate</w:t>
      </w:r>
      <w:r>
        <w:rPr>
          <w:rFonts w:ascii="Times New Roman" w:cs="Times New Roman" w:eastAsia="Times New Roman" w:hAnsi="Times New Roman"/>
          <w:sz w:val="21"/>
          <w:szCs w:val="21"/>
          <w:color w:val="auto"/>
        </w:rPr>
        <w:t xml:space="preserve">” means, with respect to any calendar year in the Performance Period, the percentage by which the Adjusted EBITDA for such calendar year exceeds the Adjusted EBITDA of the immediately preceding calendar year; provided that </w:t>
      </w:r>
      <w:r>
        <w:rPr>
          <w:rFonts w:ascii="Times New Roman" w:cs="Times New Roman" w:eastAsia="Times New Roman" w:hAnsi="Times New Roman"/>
          <w:sz w:val="20"/>
          <w:szCs w:val="20"/>
          <w:color w:val="auto"/>
        </w:rPr>
        <w:t>if the Adjusted EBITDA for the first or second calendar year in the Performance Period includes net income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from labor disruption services above five million dollars, the Adjusted EBITDA for the first or second calendar year of the Performance Period for purposes of this definition will be deemed to be the Adjusted EBITDA for first or second calendar year, less any net income in such period above five million dollars attributable to labor disruption services; provided further that if the Adjusted EBITDA for the first or second calendar year in the Performance Period includes net income from labor disruption services below five million dollars, the Adjusted EBITDA for the first or second calendar year of the Performance Period for purposes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7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of this definition will be deemed to be the Adjusted EBITDA for first or second calendar year, plus the positive difference between five million dollars and the net income attributable to labor disruption services in such period. Notwithstanding the foregoing, unless</w:t>
      </w:r>
    </w:p>
    <w:p>
      <w:pPr>
        <w:spacing w:after="0" w:line="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1"/>
          <w:szCs w:val="21"/>
          <w:color w:val="auto"/>
        </w:rPr>
        <w:t>otherwise determined by the Committee, if the Company (or one of its Subsidiaries) acquires a business during the Performance Period, then, for purposes of calculating the Adjusted EBITDA Growth Rate for 2027 and 2028, the Adjusted EBITDA for the immediately preceding calendar year in the Performance Period shall be adjusted to include the pro-forma Adjusted EBITDA of the acquired business from the time period of one year prior to the acquisition date to the end of the immediately preceding calendar year. Additionally, to determine the EBITDA growth rate for the calendar year immediately following the acquisition, the Adjusted EBITDA for the calendar year of the acquisition shall be adjusted to include pro-forma Adjusted EBITDA of the acquired business from January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to the day prior to the acquisition date. For the purposes of clarity, unless otherwise determined by the Committee, the performance of any acquisitions made by the Company during 2026 will be not be considered when calculating the Adjusted EBITDA Growth Rate for 2026.</w:t>
      </w:r>
    </w:p>
    <w:p>
      <w:pPr>
        <w:spacing w:after="0" w:line="149" w:lineRule="exact"/>
        <w:rPr>
          <w:sz w:val="20"/>
          <w:szCs w:val="20"/>
          <w:color w:val="auto"/>
        </w:rPr>
      </w:pPr>
    </w:p>
    <w:p>
      <w:pPr>
        <w:jc w:val="both"/>
        <w:ind w:firstLine="1893"/>
        <w:spacing w:after="0" w:line="230" w:lineRule="auto"/>
        <w:tabs>
          <w:tab w:leader="none" w:pos="251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5" w:lineRule="auto"/>
        <w:tabs>
          <w:tab w:leader="none" w:pos="251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(i) the definition of “cause” provided in the employment or severance agreement in effect between the Grantee and the Company or any Affiliate or (ii) if no such agreement exists, then the occurrence of any of the following, as determined by the Company in its reasonable discretion: (A) Grantee’s failure to perform in any material respect his or her duties as an employee of the Company, (B) violation of the Company’s Code of Business Conduct, Code of Ethics for Senior Financial Officers and Principal Executive Officer (if applicable), and/or Securities Trading Policy, (C) the engaging by the Grantee in willful misconduct or gross negligence which is injurious to the Company or any of its Affiliates, monetarily or otherwise, (D) the commission by Grantee of an act of fraud or embezzlement against the Company or any of its Affiliates, (E) the conviction of the Grantee of a crime which constitutes a felony or any lesser crime that involves Company property or a pleading of guilty or nolo contendere with respect to a crime which constitutes a felony or any lesser crime that involves Company property, or (F) violation of any of the restrictive covenants in Section 9 hereof.</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5" w:lineRule="auto"/>
        <w:tabs>
          <w:tab w:leader="none" w:pos="3147"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6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45" w:lineRule="exact"/>
        <w:rPr>
          <w:sz w:val="20"/>
          <w:szCs w:val="20"/>
          <w:color w:val="auto"/>
        </w:rPr>
      </w:pPr>
    </w:p>
    <w:p>
      <w:pPr>
        <w:jc w:val="both"/>
        <w:ind w:firstLine="1893"/>
        <w:spacing w:after="0" w:line="224" w:lineRule="auto"/>
        <w:tabs>
          <w:tab w:leader="none" w:pos="2517"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occurrence of either of the following events during the Protection Period: (i) the Company’s termination of the Grantee’s Service without Cause (other than due to death or Disability) or (ii) the Grantee’s termination of his or her Service with Good Reason at a time when the Grantee could not have been terminated for Cause.</w:t>
      </w:r>
    </w:p>
    <w:p>
      <w:pPr>
        <w:spacing w:after="0" w:line="147"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may treat periods of less than full time employment, in whole or in part, as Credited Service in its sole discretion.</w:t>
      </w:r>
    </w:p>
    <w:p>
      <w:pPr>
        <w:spacing w:after="0" w:line="147"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0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(i) the definition of “good reason” provided in the employment or severance agreement in effect between the Grantee and the Company or any Affiliate or (ii) if no such agreement exists, then the occurrence of either of the following without the Grantee’s express written consent: (A) a material reduction in the Grantee’s base salary compared to the base salary in effect on the date immediately prior to the beginning of the Protection Period or (B) relocation of the Grantee’s principal place of employment to a place more than 50 miles from its location as of the date immediately prior to the beginning of the Protection Period.</w:t>
      </w:r>
    </w:p>
    <w:p>
      <w:pPr>
        <w:spacing w:after="0" w:line="146"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PSU grant as set forth above. </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the period of three calendar years beginning January 1, 2026.</w:t>
      </w:r>
    </w:p>
    <w:p>
      <w:pPr>
        <w:spacing w:after="0" w:line="170"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means the performance restricted stock units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under Section 2.</w:t>
      </w:r>
    </w:p>
    <w:p>
      <w:pPr>
        <w:spacing w:after="0" w:line="154"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(other than for Cause or due to a Change in Control Termination)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4"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means the date on which the Grantee has performed three full periods of Credited Service the first period of which shall commence on the Grant Date.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9"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60" w:lineRule="exact"/>
        <w:rPr>
          <w:sz w:val="20"/>
          <w:szCs w:val="20"/>
          <w:color w:val="auto"/>
        </w:rPr>
      </w:pPr>
    </w:p>
    <w:p>
      <w:pPr>
        <w:jc w:val="both"/>
        <w:ind w:firstLine="1579"/>
        <w:spacing w:after="0" w:line="222" w:lineRule="auto"/>
        <w:tabs>
          <w:tab w:leader="none" w:pos="1888"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Performance Restricted Stock Units</w:t>
      </w:r>
      <w:r>
        <w:rPr>
          <w:rFonts w:ascii="Times New Roman" w:cs="Times New Roman" w:eastAsia="Times New Roman" w:hAnsi="Times New Roman"/>
          <w:sz w:val="21"/>
          <w:szCs w:val="21"/>
          <w:color w:val="auto"/>
        </w:rPr>
        <w:t>. Subject to the terms and conditions set forth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hereby grants to the Grantee (the “</w:t>
      </w:r>
      <w:r>
        <w:rPr>
          <w:rFonts w:ascii="Times New Roman" w:cs="Times New Roman" w:eastAsia="Times New Roman" w:hAnsi="Times New Roman"/>
          <w:sz w:val="21"/>
          <w:szCs w:val="21"/>
          <w:u w:val="single" w:color="auto"/>
          <w:color w:val="auto"/>
        </w:rPr>
        <w:t>Target Number</w:t>
      </w:r>
      <w:r>
        <w:rPr>
          <w:rFonts w:ascii="Times New Roman" w:cs="Times New Roman" w:eastAsia="Times New Roman" w:hAnsi="Times New Roman"/>
          <w:sz w:val="21"/>
          <w:szCs w:val="21"/>
          <w:color w:val="auto"/>
        </w:rPr>
        <w:t>”) PRSUs. The Committee will determine the number of PRSUs at the end of the Performance Period (“</w:t>
      </w:r>
      <w:r>
        <w:rPr>
          <w:rFonts w:ascii="Times New Roman" w:cs="Times New Roman" w:eastAsia="Times New Roman" w:hAnsi="Times New Roman"/>
          <w:sz w:val="21"/>
          <w:szCs w:val="21"/>
          <w:u w:val="single" w:color="auto"/>
          <w:color w:val="auto"/>
        </w:rPr>
        <w:t>Actual PRSUs</w:t>
      </w:r>
      <w:r>
        <w:rPr>
          <w:rFonts w:ascii="Times New Roman" w:cs="Times New Roman" w:eastAsia="Times New Roman" w:hAnsi="Times New Roman"/>
          <w:sz w:val="21"/>
          <w:szCs w:val="21"/>
          <w:color w:val="auto"/>
        </w:rPr>
        <w:t>”) or upon a Change in Control in accordance with the performance schedule attached hereto as Schedule I (the “</w:t>
      </w:r>
      <w:r>
        <w:rPr>
          <w:rFonts w:ascii="Times New Roman" w:cs="Times New Roman" w:eastAsia="Times New Roman" w:hAnsi="Times New Roman"/>
          <w:sz w:val="21"/>
          <w:szCs w:val="21"/>
          <w:u w:val="single" w:color="auto"/>
          <w:color w:val="auto"/>
        </w:rPr>
        <w:t>Performance Schedule</w:t>
      </w:r>
      <w:r>
        <w:rPr>
          <w:rFonts w:ascii="Times New Roman" w:cs="Times New Roman" w:eastAsia="Times New Roman" w:hAnsi="Times New Roman"/>
          <w:sz w:val="21"/>
          <w:szCs w:val="21"/>
          <w:color w:val="auto"/>
        </w:rPr>
        <w:t>”), which Actual PRSUs will be subject to additional time-based vesting. The number of Actual PRSUs may be greater or fewer than the Target Number.</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Except as otherwise set forth in this Agreement or in the Plan, the Actual PRSUs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in accordance with the Performance Schedule) shall vest on the Vesting Date. All PRSUs that do not become Actual PRSUs shall be cancelled and be null and void on the date the Committee calculates the Adjusted EBITDA Growth Rate for the last calendar year in the Performance Period, which shall occur within sixty (60) days of the end of the Performance Period (the “</w:t>
      </w:r>
      <w:r>
        <w:rPr>
          <w:rFonts w:ascii="Times New Roman" w:cs="Times New Roman" w:eastAsia="Times New Roman" w:hAnsi="Times New Roman"/>
          <w:sz w:val="21"/>
          <w:szCs w:val="21"/>
          <w:u w:val="single" w:color="auto"/>
          <w:color w:val="auto"/>
        </w:rPr>
        <w:t>Calculation Date</w:t>
      </w:r>
      <w:r>
        <w:rPr>
          <w:rFonts w:ascii="Times New Roman" w:cs="Times New Roman" w:eastAsia="Times New Roman" w:hAnsi="Times New Roman"/>
          <w:sz w:val="21"/>
          <w:szCs w:val="21"/>
          <w:color w:val="auto"/>
        </w:rPr>
        <w:t>”).</w:t>
      </w:r>
    </w:p>
    <w:p>
      <w:pPr>
        <w:spacing w:after="0" w:line="142"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PRSUs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21" w:lineRule="auto"/>
        <w:tabs>
          <w:tab w:leader="none" w:pos="251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Actual PRSU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(or the Calculation Date, if later than the Vesting Date), and (ii) the end of the deferral period specified by the Grantee. The deferral period shall be no less than four (4) years and five (5) days from the Grant Date. Such deferral election shall be made within 30 days of the Grant Date. Any deferral of the PRSUs shall be subject to the NQDC Plan and the applicable deferral election form.</w:t>
      </w:r>
    </w:p>
    <w:p>
      <w:pPr>
        <w:spacing w:after="0" w:line="147"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vested Actual PRSUs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in respect of a vested Actual PRSU or from any compensation or other amounts owing to the Grantee the amount (in cash, Stock or other property) of any required tax withholding and payroll taxes in respect of such Actual PRSUs vesting or settlement and to take such other action as may be necessary in the opinion of the Company to satisfy all obligations for the payment of such taxes.</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vested Actual PRSUs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25" w:lineRule="auto"/>
        <w:tabs>
          <w:tab w:leader="none" w:pos="1888"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Actual PRSUs credited to the Grantee pursuant to the Performance Schedule shall, as of such date (or as of the Calculation Date if such dividend occurs before the Calculation Date), be increased by an amount determined by the following formula:</w:t>
      </w:r>
    </w:p>
    <w:p>
      <w:pPr>
        <w:spacing w:after="0" w:line="17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9"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PRSUs to be credited to the Grantee on such dividend payment date;</w:t>
      </w:r>
    </w:p>
    <w:p>
      <w:pPr>
        <w:spacing w:after="0" w:line="217" w:lineRule="exact"/>
        <w:rPr>
          <w:sz w:val="20"/>
          <w:szCs w:val="20"/>
          <w:color w:val="auto"/>
        </w:rPr>
      </w:pPr>
    </w:p>
    <w:p>
      <w:pPr>
        <w:ind w:left="1900"/>
        <w:spacing w:after="0" w:line="280" w:lineRule="auto"/>
        <w:rPr>
          <w:sz w:val="20"/>
          <w:szCs w:val="20"/>
          <w:color w:val="auto"/>
        </w:rPr>
      </w:pPr>
      <w:r>
        <w:rPr>
          <w:rFonts w:ascii="Times New Roman" w:cs="Times New Roman" w:eastAsia="Times New Roman" w:hAnsi="Times New Roman"/>
          <w:sz w:val="21"/>
          <w:szCs w:val="21"/>
          <w:color w:val="auto"/>
        </w:rPr>
        <w:t>X = the aggregate number of PRSUs (whether vested or unvested) credited to the Grantee as of the record date of the dividend (or the Calculation Date, as applicable);</w:t>
      </w:r>
    </w:p>
    <w:p>
      <w:pPr>
        <w:spacing w:after="0" w:line="14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For the avoidance of doubt, no dividend equivalents shall be credited to PRSUs prior to the determination of the number of Actual PRSUs.</w:t>
      </w:r>
    </w:p>
    <w:p>
      <w:pPr>
        <w:spacing w:after="0" w:line="114" w:lineRule="exact"/>
        <w:rPr>
          <w:sz w:val="20"/>
          <w:szCs w:val="20"/>
          <w:color w:val="auto"/>
        </w:rPr>
      </w:pPr>
    </w:p>
    <w:p>
      <w:pPr>
        <w:ind w:left="1900" w:hanging="321"/>
        <w:spacing w:after="0"/>
        <w:tabs>
          <w:tab w:leader="none" w:pos="1900" w:val="left"/>
        </w:tabs>
        <w:numPr>
          <w:ilvl w:val="0"/>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unvested PRSUs (or all unvested Actual PRSUs, as applicable)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3"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unvested PRSUs (or all unvested Actual PRSUs, as applicable) according to the terms of this Agreement as though the Grantee’s Service had not terminated. For clarity, the Grantee’s Actual PRSUs shall be determined at the end of the Performance Period according to the Performance Schedule based on actual performance, and such Actual PRSUs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end of the Performance Period, then on the date of the Grantee’s termination or, if later, on the effective date of the Change in Control, the Actual PRSUs shall be vested and settled according to Section 4 hereof. If the Grantee’s Service terminates due to a Change in Control Termination after the end of the Performance Period but before the Settlement Date, then on the date of the Grantee’s termination (or, if later, on the effective date of the Change in Control), all of the Grantee’s Actual PRSUs shall become immediately vested and settled according to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3" w:lineRule="auto"/>
        <w:tabs>
          <w:tab w:leader="none" w:pos="2513"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Committee’s determines, in its sole discretion, that the Grantee has become Disabled, in each case, after the Grant Date and prior to the end of the Performance Period, then, upon the date of the Grantee’s death or the date the Committee determines the Grantee is Disabled (for purposes of this paragraph, the “determination date”), the following percentage of the Target Number of PRSUs shall become immediately vested, be considered Actual PRSUs and, regardless of the Grantee’s deferral election, be settled as soon as reasonably practicable by the Company issuing shares of Stock to the Grantee (or the Grantee’s designated beneficiary or estate executor in the event of the Grantee’s death): the sum of (i) the Actual PRSUs earned with respect to any completed calendar year in the Performance Period as of the determination date, plus (ii) 100% of the Target Number of PRSUs allocated to any calendar year in the Performance Period that has not yet been completed as of the determination date. In the event the Grantee dies or becomes Disabled (as determined by the Committee in its sole discretion) on or after the end of the Performance Period and prior to (or on) the Settlement Date, the Grantee shall be entitled to receive shares of Stock underlying all vested Actual PRSUs, and regardless of the Grantee’s deferral election, the Company, as soon as reasonably practicable, shall issue the applicable number 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9"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of Stock to the Grantee (or the Grantee’s designated beneficiary or estate executor in the event of the Grantee’s death).</w:t>
      </w:r>
    </w:p>
    <w:p>
      <w:pPr>
        <w:spacing w:after="0" w:line="178" w:lineRule="exact"/>
        <w:rPr>
          <w:sz w:val="20"/>
          <w:szCs w:val="20"/>
          <w:color w:val="auto"/>
        </w:rPr>
      </w:pPr>
    </w:p>
    <w:p>
      <w:pPr>
        <w:jc w:val="both"/>
        <w:ind w:firstLine="1893"/>
        <w:spacing w:after="0" w:line="219" w:lineRule="auto"/>
        <w:tabs>
          <w:tab w:leader="none" w:pos="2514"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or by the Grantee for Good Reason, in each case after the Grant Date but before the end of the Performance Period (other than due to a Change in Control Termination), then a pro-rata portion of the PRSUs based on a fraction equal to the number of full calendar months that have elapsed from the first day of the Performance Period through and inclusive of the termination date divided by 36 shall remain eligible to vest at the end of the Performance Period according to the Performance Schedule based on actual performance, and such vested PRSUs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7"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PRSUs and Actual PRSUs shall immediately be forfeited and cancelled, whether or not vested, as of the date of the Committee’s determination.</w:t>
      </w:r>
    </w:p>
    <w:p>
      <w:pPr>
        <w:spacing w:after="0" w:line="143"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PRSUs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PRSUs granted herein are not transferable by the Grantee other than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beneficiary upon death, by will or the laws of descent and distribution, to a trust solely for the benefit of the Grantee or his/her immediate family or, in the case of the PRSUs being held by such a trust, by the trustee.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b w:val="1"/>
          <w:bCs w:val="1"/>
          <w:color w:val="auto"/>
        </w:rPr>
      </w:pPr>
    </w:p>
    <w:p>
      <w:pPr>
        <w:jc w:val="both"/>
        <w:ind w:firstLine="1893"/>
        <w:spacing w:after="0" w:line="245" w:lineRule="auto"/>
        <w:tabs>
          <w:tab w:leader="none" w:pos="2344"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77" w:lineRule="exact"/>
        <w:rPr>
          <w:sz w:val="20"/>
          <w:szCs w:val="20"/>
          <w:color w:val="auto"/>
        </w:rPr>
      </w:pPr>
    </w:p>
    <w:p>
      <w:pPr>
        <w:jc w:val="both"/>
        <w:ind w:firstLine="1893"/>
        <w:spacing w:after="0" w:line="257" w:lineRule="auto"/>
        <w:tabs>
          <w:tab w:leader="none" w:pos="2343"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If the Grantee shall at any time violate the provisions of Section 9(a), (b), or (c), the Grantee shall immediately forfeit his/her Actual PRSUs (whether vested or unvested) and any issuance of shares of Stock that occurs after (or within six (6) months before) any such violation shall be void ab initio.</w:t>
      </w:r>
    </w:p>
    <w:p>
      <w:pPr>
        <w:spacing w:after="0" w:line="168" w:lineRule="exact"/>
        <w:rPr>
          <w:rFonts w:ascii="Times New Roman" w:cs="Times New Roman" w:eastAsia="Times New Roman" w:hAnsi="Times New Roman"/>
          <w:sz w:val="21"/>
          <w:szCs w:val="21"/>
          <w:color w:val="auto"/>
        </w:rPr>
      </w:pPr>
    </w:p>
    <w:p>
      <w:pPr>
        <w:jc w:val="both"/>
        <w:ind w:firstLine="1893"/>
        <w:spacing w:after="0" w:line="257" w:lineRule="auto"/>
        <w:tabs>
          <w:tab w:leader="none" w:pos="2409"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81" w:lineRule="exact"/>
        <w:rPr>
          <w:rFonts w:ascii="Times New Roman" w:cs="Times New Roman" w:eastAsia="Times New Roman" w:hAnsi="Times New Roman"/>
          <w:sz w:val="21"/>
          <w:szCs w:val="21"/>
          <w:color w:val="auto"/>
        </w:rPr>
      </w:pPr>
    </w:p>
    <w:p>
      <w:pPr>
        <w:jc w:val="both"/>
        <w:ind w:firstLine="1893"/>
        <w:spacing w:after="0" w:line="275" w:lineRule="auto"/>
        <w:tabs>
          <w:tab w:leader="none" w:pos="255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20" w:lineRule="exact"/>
        <w:rPr>
          <w:rFonts w:ascii="Times New Roman" w:cs="Times New Roman" w:eastAsia="Times New Roman" w:hAnsi="Times New Roman"/>
          <w:sz w:val="20"/>
          <w:szCs w:val="20"/>
          <w:color w:val="auto"/>
        </w:rPr>
      </w:pPr>
    </w:p>
    <w:p>
      <w:pPr>
        <w:jc w:val="both"/>
        <w:ind w:firstLine="1579"/>
        <w:spacing w:after="0" w:line="225" w:lineRule="auto"/>
        <w:tabs>
          <w:tab w:leader="none" w:pos="1888"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Actual PRSUs shall have no rights as a stockholder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any share of Stock covered by the Actual PRSUs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77"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color w:val="auto"/>
        </w:rPr>
        <w:t>. 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8" w:lineRule="auto"/>
        <w:tabs>
          <w:tab w:leader="none" w:pos="1888"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1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consulting relationship, free from any liability or any claim under this Agreement, except as otherwise expressly provided herein.</w:t>
      </w:r>
    </w:p>
    <w:p>
      <w:pPr>
        <w:spacing w:after="0" w:line="174" w:lineRule="exact"/>
        <w:rPr>
          <w:sz w:val="20"/>
          <w:szCs w:val="20"/>
          <w:color w:val="auto"/>
        </w:rPr>
      </w:pPr>
    </w:p>
    <w:p>
      <w:pPr>
        <w:ind w:firstLine="1579"/>
        <w:spacing w:after="0" w:line="245" w:lineRule="auto"/>
        <w:tabs>
          <w:tab w:leader="none" w:pos="1888"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88"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waive any conditions or rights under, amend any terms of, or alter, suspend, discontinue, cancel or terminate, any portion of the PRSUs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PRSUs already granted shall not to that extent be effective without the consent of the Grantee.</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9" w:lineRule="auto"/>
        <w:tabs>
          <w:tab w:leader="none" w:pos="1888"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PRSUs are subject to the terms of Plan, and the NQDC Plan if the PRSUs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1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AMN Healthcare Services,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By: </w:t>
      </w:r>
      <w:r>
        <w:rPr>
          <w:rFonts w:ascii="Times New Roman" w:cs="Times New Roman" w:eastAsia="Times New Roman" w:hAnsi="Times New Roman"/>
          <w:sz w:val="21"/>
          <w:szCs w:val="21"/>
          <w:b w:val="1"/>
          <w:bCs w:val="1"/>
          <w:u w:val="single" w:color="auto"/>
          <w:color w:val="auto"/>
        </w:rPr>
        <w:t>_________________________________</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Cary Grace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b w:val="1"/>
          <w:bCs w:val="1"/>
          <w:color w:val="auto"/>
        </w:rPr>
        <w:t>Exhibit 10.54</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Executive Form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 I – Performance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1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AMN HEALTHCARE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EQUITY PLAN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RESTRICTED STOCK UNIT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(ADJUSTED EBITDA PERFORMANCE)</w:t>
      </w:r>
    </w:p>
    <w:p>
      <w:pPr>
        <w:spacing w:after="0" w:line="3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auto"/>
        </w:rPr>
        <w:t>Units Granted</w:t>
      </w:r>
      <w:r>
        <w:rPr>
          <w:rFonts w:ascii="Times New Roman" w:cs="Times New Roman" w:eastAsia="Times New Roman" w:hAnsi="Times New Roman"/>
          <w:sz w:val="21"/>
          <w:szCs w:val="21"/>
          <w:color w:val="auto"/>
        </w:rPr>
        <w:t>:</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8" w:lineRule="exact"/>
        <w:rPr>
          <w:sz w:val="20"/>
          <w:szCs w:val="20"/>
          <w:color w:val="auto"/>
        </w:rPr>
      </w:pPr>
    </w:p>
    <w:p>
      <w:pPr>
        <w:ind w:right="100" w:firstLine="1259"/>
        <w:spacing w:after="0" w:line="281" w:lineRule="auto"/>
        <w:rPr>
          <w:sz w:val="20"/>
          <w:szCs w:val="20"/>
          <w:color w:val="auto"/>
        </w:rPr>
      </w:pPr>
      <w:r>
        <w:rPr>
          <w:rFonts w:ascii="Times New Roman" w:cs="Times New Roman" w:eastAsia="Times New Roman" w:hAnsi="Times New Roman"/>
          <w:sz w:val="20"/>
          <w:szCs w:val="20"/>
          <w:b w:val="1"/>
          <w:bCs w:val="1"/>
          <w:color w:val="auto"/>
        </w:rPr>
        <w:t>THIS PERFORMANCE STOCK UNIT AGREEMENT (the “</w:t>
      </w:r>
      <w:r>
        <w:rPr>
          <w:rFonts w:ascii="Times New Roman" w:cs="Times New Roman" w:eastAsia="Times New Roman" w:hAnsi="Times New Roman"/>
          <w:sz w:val="20"/>
          <w:szCs w:val="20"/>
          <w:b w:val="1"/>
          <w:bCs w:val="1"/>
          <w:u w:val="single" w:color="auto"/>
          <w:color w:val="auto"/>
        </w:rPr>
        <w:t>Agreemen</w:t>
      </w:r>
      <w:r>
        <w:rPr>
          <w:rFonts w:ascii="Times New Roman" w:cs="Times New Roman" w:eastAsia="Times New Roman" w:hAnsi="Times New Roman"/>
          <w:sz w:val="20"/>
          <w:szCs w:val="20"/>
          <w:b w:val="1"/>
          <w:bCs w:val="1"/>
          <w:color w:val="auto"/>
        </w:rPr>
        <w:t>t”), made as of the Grant Date (as defined herein) by and between AMN Healthcare Services, Inc.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b w:val="1"/>
          <w:bCs w:val="1"/>
          <w:color w:val="auto"/>
        </w:rPr>
        <w:t>”), a Delaware corporation, and the Grantee.</w:t>
      </w:r>
      <w:r>
        <w:rPr>
          <w:rFonts w:ascii="Times New Roman" w:cs="Times New Roman" w:eastAsia="Times New Roman" w:hAnsi="Times New Roman"/>
          <w:sz w:val="20"/>
          <w:szCs w:val="20"/>
          <w:color w:val="auto"/>
        </w:rPr>
        <w:t> </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1259"/>
        <w:spacing w:after="0" w:line="254"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receive shares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58" w:lineRule="exact"/>
        <w:rPr>
          <w:sz w:val="20"/>
          <w:szCs w:val="20"/>
          <w:color w:val="auto"/>
        </w:rPr>
      </w:pPr>
    </w:p>
    <w:p>
      <w:pPr>
        <w:jc w:val="both"/>
        <w:ind w:firstLine="1259"/>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28" w:lineRule="exact"/>
        <w:rPr>
          <w:sz w:val="20"/>
          <w:szCs w:val="20"/>
          <w:color w:val="auto"/>
        </w:rPr>
      </w:pPr>
    </w:p>
    <w:p>
      <w:pPr>
        <w:ind w:left="1900" w:hanging="321"/>
        <w:spacing w:after="0"/>
        <w:tabs>
          <w:tab w:leader="none" w:pos="1900" w:val="left"/>
        </w:tabs>
        <w:numPr>
          <w:ilvl w:val="0"/>
          <w:numId w:val="1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ind w:firstLine="1888"/>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18" w:lineRule="exact"/>
        <w:rPr>
          <w:sz w:val="20"/>
          <w:szCs w:val="20"/>
          <w:color w:val="auto"/>
        </w:rPr>
      </w:pPr>
    </w:p>
    <w:p>
      <w:pPr>
        <w:jc w:val="both"/>
        <w:ind w:firstLine="1893"/>
        <w:spacing w:after="0" w:line="219" w:lineRule="auto"/>
        <w:tabs>
          <w:tab w:leader="none" w:pos="251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EBITDA</w:t>
      </w:r>
      <w:r>
        <w:rPr>
          <w:rFonts w:ascii="Times New Roman" w:cs="Times New Roman" w:eastAsia="Times New Roman" w:hAnsi="Times New Roman"/>
          <w:sz w:val="21"/>
          <w:szCs w:val="21"/>
          <w:color w:val="auto"/>
        </w:rPr>
        <w:t>” means for the Company and its wholly owned Subsidiaries on a consolidated basis, net income (loss) plus interest expense (net of interest income), income taxes, depreciation and amortization, acquisition related costs, stock-based compensation expense, integration expenses, debt refinancing and other corporate reorganizational costs, extraordinary legal costs (including damages, settlements and attorney’s fees), changes in GAAP treatment of revenue/expenses, discontinued operations, goodwill and other identified intangible asset impairments and expenses resulting from severance arrangements with terminated employees, and net income (loss) from discontinued operations, net of taxes.</w:t>
      </w:r>
    </w:p>
    <w:p>
      <w:pPr>
        <w:spacing w:after="0" w:line="146" w:lineRule="exact"/>
        <w:rPr>
          <w:rFonts w:ascii="Times New Roman" w:cs="Times New Roman" w:eastAsia="Times New Roman" w:hAnsi="Times New Roman"/>
          <w:sz w:val="21"/>
          <w:szCs w:val="21"/>
          <w:color w:val="auto"/>
        </w:rPr>
      </w:pPr>
    </w:p>
    <w:p>
      <w:pPr>
        <w:jc w:val="both"/>
        <w:ind w:firstLine="1893"/>
        <w:spacing w:after="0" w:line="216" w:lineRule="auto"/>
        <w:tabs>
          <w:tab w:leader="none" w:pos="251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EBITDA Growth Rate</w:t>
      </w:r>
      <w:r>
        <w:rPr>
          <w:rFonts w:ascii="Times New Roman" w:cs="Times New Roman" w:eastAsia="Times New Roman" w:hAnsi="Times New Roman"/>
          <w:sz w:val="21"/>
          <w:szCs w:val="21"/>
          <w:color w:val="auto"/>
        </w:rPr>
        <w:t>” means, with respect to any calendar year in the Performance Period, the percentage by which the Adjusted EBITDA for such calendar year exceeds the Adjusted EBITDA of the immediately preceding calendar year; provided that if the Adjusted EBITDA for the first or second calendar year in the Performance Period includes net income from labor disruption services above five million dollars, the Adjusted EBITDA for the first or second calendar year of the Performance Period for purposes of this definition will be deemed to be the Adjusted EBITDA for first or second calendar year, less any net income in such period above five million dollars attributable to labor disruption services; provided further that if the Adjusted EBITDA for the first or second calendar year in the Performance Period includes net income from labor disruption services below five million dollars, the Adjusted EBITDA for the first or second calendar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1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2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year of the Performance Period for purposes of this definition will be deemed to be the Adjusted EBITDA for first or second calendar year, plus the positive difference between five million dollars and the net income attributable to labor disruption services in such period. Notwithstanding the foregoing, unless otherwise determined by the Committee, if the Company (or one of its Subsidiaries) acquires a business during the Performance Period, then, for purposes of calculating the Adjusted EBITDA Growth Rate for 2027 and 2028, the Adjusted EBITDA for the immediately preceding calendar year(s) in the Performance Period shall be adjusted to include the pro-forma Adjusted EBITDA of the acquired business from the time period of one year prior to the acquisition date to the end of the immediately preceding calendar year. Additionally, to determine the EBITDA growth rate for the calendar year immediately following the acquisition, the Adjusted EBITDA for the calendar year of the acquisition shall be adjusted to include pro-forma Adjusted EBITDA of the acquired business from January 1st to the day prior to the acquisition date. For the purposes of clarity, unless otherwise determined by the Committee, the performance of any acquisitions made by the Company during 2026 will be not be considered when calculating the Adjusted EBITDA Growth Rate for 2026.</w:t>
      </w:r>
    </w:p>
    <w:p>
      <w:pPr>
        <w:spacing w:after="0" w:line="149" w:lineRule="exact"/>
        <w:rPr>
          <w:sz w:val="20"/>
          <w:szCs w:val="20"/>
          <w:color w:val="auto"/>
        </w:rPr>
      </w:pPr>
    </w:p>
    <w:p>
      <w:pPr>
        <w:jc w:val="both"/>
        <w:ind w:firstLine="1893"/>
        <w:spacing w:after="0" w:line="230" w:lineRule="auto"/>
        <w:tabs>
          <w:tab w:leader="none" w:pos="2514"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44" w:lineRule="exact"/>
        <w:rPr>
          <w:rFonts w:ascii="Times New Roman" w:cs="Times New Roman" w:eastAsia="Times New Roman" w:hAnsi="Times New Roman"/>
          <w:sz w:val="21"/>
          <w:szCs w:val="21"/>
          <w:color w:val="auto"/>
        </w:rPr>
      </w:pPr>
    </w:p>
    <w:p>
      <w:pPr>
        <w:jc w:val="both"/>
        <w:ind w:firstLine="1893"/>
        <w:spacing w:after="0" w:line="216" w:lineRule="auto"/>
        <w:tabs>
          <w:tab w:leader="none" w:pos="251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 Grantee’s failure to perform in any material respect his or her duties as an employee of the Company, (B) violation of the Company’s Code of Business Conduct, Code of Ethics for Senior Financial Officers and Principal Executive Officer (if applicable), and/or Securities Trading Policy, (C) the engaging by the Grantee in willful misconduct or gross negligence which is injurious to the Company or any of its Affiliates, monetarily or otherwise, (D) the commission by Grantee of an act of fraud or embezzlement against the Company or any of its Affiliates, (E) the conviction of the Grantee of a crime which constitutes a felony or any lesser crime that involves Company property or a pleading of guilty or nolo contendere with respect to a crime which constitutes a felony or any lesser crime that involves Company property, or (F) violation of any of the restrictive covenants in Section 9 hereof.</w:t>
      </w:r>
    </w:p>
    <w:p>
      <w:pPr>
        <w:spacing w:after="0" w:line="149"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178" w:lineRule="exact"/>
        <w:rPr>
          <w:rFonts w:ascii="Times New Roman" w:cs="Times New Roman" w:eastAsia="Times New Roman" w:hAnsi="Times New Roman"/>
          <w:sz w:val="21"/>
          <w:szCs w:val="21"/>
          <w:color w:val="auto"/>
        </w:rPr>
      </w:pPr>
    </w:p>
    <w:p>
      <w:pPr>
        <w:jc w:val="both"/>
        <w:ind w:firstLine="2523"/>
        <w:spacing w:after="0" w:line="224" w:lineRule="auto"/>
        <w:tabs>
          <w:tab w:leader="none" w:pos="313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47" w:lineRule="exact"/>
        <w:rPr>
          <w:rFonts w:ascii="Times New Roman" w:cs="Times New Roman" w:eastAsia="Times New Roman" w:hAnsi="Times New Roman"/>
          <w:sz w:val="21"/>
          <w:szCs w:val="21"/>
          <w:color w:val="auto"/>
        </w:rPr>
      </w:pPr>
    </w:p>
    <w:p>
      <w:pPr>
        <w:ind w:left="3140" w:hanging="617"/>
        <w:spacing w:after="0"/>
        <w:tabs>
          <w:tab w:leader="none" w:pos="314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all or substantially all of the business or assets of the Company; or</w:t>
      </w:r>
    </w:p>
    <w:p>
      <w:pPr>
        <w:spacing w:after="0" w:line="178" w:lineRule="exact"/>
        <w:rPr>
          <w:rFonts w:ascii="Times New Roman" w:cs="Times New Roman" w:eastAsia="Times New Roman" w:hAnsi="Times New Roman"/>
          <w:sz w:val="21"/>
          <w:szCs w:val="21"/>
          <w:color w:val="auto"/>
        </w:rPr>
      </w:pPr>
    </w:p>
    <w:p>
      <w:pPr>
        <w:jc w:val="both"/>
        <w:ind w:firstLine="2523"/>
        <w:spacing w:after="0" w:line="214" w:lineRule="auto"/>
        <w:tabs>
          <w:tab w:leader="none" w:pos="3147"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 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1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of the combined voting power of the then outstanding voting securities of the Surviving Corporation entitled to vote generally in the election of directors.</w:t>
      </w:r>
    </w:p>
    <w:p>
      <w:pPr>
        <w:spacing w:after="0" w:line="144" w:lineRule="exact"/>
        <w:rPr>
          <w:sz w:val="20"/>
          <w:szCs w:val="20"/>
          <w:color w:val="auto"/>
        </w:rPr>
      </w:pPr>
    </w:p>
    <w:p>
      <w:pPr>
        <w:ind w:firstLine="1893"/>
        <w:spacing w:after="0" w:line="241" w:lineRule="auto"/>
        <w:tabs>
          <w:tab w:leader="none" w:pos="2517"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Company’s termination of the Grantee’s Service without Cause (other than due to death or Disability) during the Protection Period.</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may treat periods of less than full time employment, in whole or in part, as Credited Service in its sole discretion.</w:t>
      </w:r>
    </w:p>
    <w:p>
      <w:pPr>
        <w:spacing w:after="0" w:line="147"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PSU grant as set forth above. </w:t>
      </w:r>
    </w:p>
    <w:p>
      <w:pPr>
        <w:spacing w:after="0" w:line="178"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144"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the period of three calendar years beginning January 1, 2026.</w:t>
      </w:r>
    </w:p>
    <w:p>
      <w:pPr>
        <w:spacing w:after="0" w:line="170" w:lineRule="exact"/>
        <w:rPr>
          <w:rFonts w:ascii="Times New Roman" w:cs="Times New Roman" w:eastAsia="Times New Roman" w:hAnsi="Times New Roman"/>
          <w:sz w:val="21"/>
          <w:szCs w:val="21"/>
          <w:color w:val="auto"/>
        </w:rPr>
      </w:pPr>
    </w:p>
    <w:p>
      <w:pPr>
        <w:ind w:left="2520" w:hanging="627"/>
        <w:spacing w:after="0"/>
        <w:tabs>
          <w:tab w:leader="none" w:pos="252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 means the performance restricted stock units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granted under Section 2.</w:t>
      </w:r>
    </w:p>
    <w:p>
      <w:pPr>
        <w:spacing w:after="0" w:line="154" w:lineRule="exact"/>
        <w:rPr>
          <w:rFonts w:ascii="Times New Roman" w:cs="Times New Roman" w:eastAsia="Times New Roman" w:hAnsi="Times New Roman"/>
          <w:sz w:val="21"/>
          <w:szCs w:val="21"/>
          <w:color w:val="auto"/>
        </w:rPr>
      </w:pPr>
    </w:p>
    <w:p>
      <w:pPr>
        <w:ind w:firstLine="1893"/>
        <w:spacing w:after="0" w:line="241" w:lineRule="auto"/>
        <w:tabs>
          <w:tab w:leader="none" w:pos="2506"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47" w:lineRule="exact"/>
        <w:rPr>
          <w:rFonts w:ascii="Times New Roman" w:cs="Times New Roman" w:eastAsia="Times New Roman" w:hAnsi="Times New Roman"/>
          <w:sz w:val="21"/>
          <w:szCs w:val="21"/>
          <w:color w:val="auto"/>
        </w:rPr>
      </w:pPr>
    </w:p>
    <w:p>
      <w:pPr>
        <w:ind w:firstLine="1893"/>
        <w:spacing w:after="0" w:line="241" w:lineRule="auto"/>
        <w:tabs>
          <w:tab w:leader="none" w:pos="2513"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44"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3"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xml:space="preserve">” means the date on which the Grantee has performed three full periods of Credited Service the first period of which shall commence on the Grant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of a Change of Control, the Vesting Date shall be the effective date of the Change of Control.</w:t>
      </w:r>
    </w:p>
    <w:p>
      <w:pPr>
        <w:spacing w:after="0" w:line="140" w:lineRule="exact"/>
        <w:rPr>
          <w:rFonts w:ascii="Times New Roman" w:cs="Times New Roman" w:eastAsia="Times New Roman" w:hAnsi="Times New Roman"/>
          <w:sz w:val="21"/>
          <w:szCs w:val="21"/>
          <w:color w:val="auto"/>
        </w:rPr>
      </w:pPr>
    </w:p>
    <w:p>
      <w:pPr>
        <w:jc w:val="both"/>
        <w:ind w:firstLine="1579"/>
        <w:spacing w:after="0" w:line="222" w:lineRule="auto"/>
        <w:tabs>
          <w:tab w:leader="none" w:pos="1888"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Performance Restricted Stock Units</w:t>
      </w:r>
      <w:r>
        <w:rPr>
          <w:rFonts w:ascii="Times New Roman" w:cs="Times New Roman" w:eastAsia="Times New Roman" w:hAnsi="Times New Roman"/>
          <w:sz w:val="21"/>
          <w:szCs w:val="21"/>
          <w:color w:val="auto"/>
        </w:rPr>
        <w:t>. Subject to the terms and conditions set forth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hereby grants to the Grantee (the “</w:t>
      </w:r>
      <w:r>
        <w:rPr>
          <w:rFonts w:ascii="Times New Roman" w:cs="Times New Roman" w:eastAsia="Times New Roman" w:hAnsi="Times New Roman"/>
          <w:sz w:val="21"/>
          <w:szCs w:val="21"/>
          <w:u w:val="single" w:color="auto"/>
          <w:color w:val="auto"/>
        </w:rPr>
        <w:t>Target Number</w:t>
      </w:r>
      <w:r>
        <w:rPr>
          <w:rFonts w:ascii="Times New Roman" w:cs="Times New Roman" w:eastAsia="Times New Roman" w:hAnsi="Times New Roman"/>
          <w:sz w:val="21"/>
          <w:szCs w:val="21"/>
          <w:color w:val="auto"/>
        </w:rPr>
        <w:t>”) PRSUs. The Committee will determine the number of PRSUs at the end of the Performance Period (“</w:t>
      </w:r>
      <w:r>
        <w:rPr>
          <w:rFonts w:ascii="Times New Roman" w:cs="Times New Roman" w:eastAsia="Times New Roman" w:hAnsi="Times New Roman"/>
          <w:sz w:val="21"/>
          <w:szCs w:val="21"/>
          <w:u w:val="single" w:color="auto"/>
          <w:color w:val="auto"/>
        </w:rPr>
        <w:t>Actual PRSUs</w:t>
      </w:r>
      <w:r>
        <w:rPr>
          <w:rFonts w:ascii="Times New Roman" w:cs="Times New Roman" w:eastAsia="Times New Roman" w:hAnsi="Times New Roman"/>
          <w:sz w:val="21"/>
          <w:szCs w:val="21"/>
          <w:color w:val="auto"/>
        </w:rPr>
        <w:t>”) or upon a Change in Control in accordance with the performance schedule attached hereto as Schedule I (the “</w:t>
      </w:r>
      <w:r>
        <w:rPr>
          <w:rFonts w:ascii="Times New Roman" w:cs="Times New Roman" w:eastAsia="Times New Roman" w:hAnsi="Times New Roman"/>
          <w:sz w:val="21"/>
          <w:szCs w:val="21"/>
          <w:u w:val="single" w:color="auto"/>
          <w:color w:val="auto"/>
        </w:rPr>
        <w:t>Performance Schedule</w:t>
      </w:r>
      <w:r>
        <w:rPr>
          <w:rFonts w:ascii="Times New Roman" w:cs="Times New Roman" w:eastAsia="Times New Roman" w:hAnsi="Times New Roman"/>
          <w:sz w:val="21"/>
          <w:szCs w:val="21"/>
          <w:color w:val="auto"/>
        </w:rPr>
        <w:t>”), which Actual PRSUs will be subject to additional time-based vesting. The number of Actual PRSUs may be greater or fewer than the Target Number.</w:t>
      </w:r>
    </w:p>
    <w:p>
      <w:pPr>
        <w:spacing w:after="0" w:line="142"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1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Except as otherwise set forth in this Agreement or in the Plan, the Actual PRSUs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in accordance with the Performance Schedule) shall vest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1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Vesting Date. All PRSUs that do not become Actual PRSUs shall be cancelled and be null and void on the date the Committee calculates the Adjusted EBITDA Growth Rate for the last calendar year in the Performance Period, which shall occur within sixty</w:t>
      </w:r>
    </w:p>
    <w:p>
      <w:pPr>
        <w:spacing w:after="0" w:line="1" w:lineRule="exact"/>
        <w:rPr>
          <w:sz w:val="20"/>
          <w:szCs w:val="20"/>
          <w:color w:val="auto"/>
        </w:rPr>
      </w:pPr>
    </w:p>
    <w:p>
      <w:pPr>
        <w:ind w:left="400" w:hanging="395"/>
        <w:spacing w:after="0"/>
        <w:tabs>
          <w:tab w:leader="none" w:pos="4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the end of the Performance Period (the “</w:t>
      </w:r>
      <w:r>
        <w:rPr>
          <w:rFonts w:ascii="Times New Roman" w:cs="Times New Roman" w:eastAsia="Times New Roman" w:hAnsi="Times New Roman"/>
          <w:sz w:val="21"/>
          <w:szCs w:val="21"/>
          <w:u w:val="single" w:color="auto"/>
          <w:color w:val="auto"/>
        </w:rPr>
        <w:t>Calculation Date</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1"/>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PRSUs</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jc w:val="both"/>
        <w:ind w:firstLine="1893"/>
        <w:spacing w:after="0" w:line="221" w:lineRule="auto"/>
        <w:tabs>
          <w:tab w:leader="none" w:pos="2514" w:val="left"/>
        </w:tabs>
        <w:numPr>
          <w:ilvl w:val="2"/>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Actual PRSU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(or the Calculation Date, if later than the Vesting Date), and (ii) the end of the deferral period specified by the Grantee. The deferral period shall be no less than four (4) years and five (5) days from the Grant Date. Such deferral election shall be made within 30 days of the Grant Date. Any deferral of the PRSUs shall be subject to the NQDC Plan and the applicable deferral election form.</w:t>
      </w:r>
    </w:p>
    <w:p>
      <w:pPr>
        <w:spacing w:after="0" w:line="147"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2"/>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vested Actual PRSUs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non-assessable. In no event shall fractional shares of Stock be issued.</w:t>
      </w:r>
    </w:p>
    <w:p>
      <w:pPr>
        <w:spacing w:after="0" w:line="147" w:lineRule="exact"/>
        <w:rPr>
          <w:rFonts w:ascii="Times New Roman" w:cs="Times New Roman" w:eastAsia="Times New Roman" w:hAnsi="Times New Roman"/>
          <w:sz w:val="21"/>
          <w:szCs w:val="21"/>
          <w:color w:val="auto"/>
        </w:rPr>
      </w:pPr>
    </w:p>
    <w:p>
      <w:pPr>
        <w:jc w:val="both"/>
        <w:ind w:firstLine="1893"/>
        <w:spacing w:after="0" w:line="230" w:lineRule="auto"/>
        <w:tabs>
          <w:tab w:leader="none" w:pos="2514" w:val="left"/>
        </w:tabs>
        <w:numPr>
          <w:ilvl w:val="2"/>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44" w:lineRule="exact"/>
        <w:rPr>
          <w:rFonts w:ascii="Times New Roman" w:cs="Times New Roman" w:eastAsia="Times New Roman" w:hAnsi="Times New Roman"/>
          <w:sz w:val="21"/>
          <w:szCs w:val="21"/>
          <w:color w:val="auto"/>
        </w:rPr>
      </w:pPr>
    </w:p>
    <w:p>
      <w:pPr>
        <w:jc w:val="both"/>
        <w:ind w:firstLine="1893"/>
        <w:spacing w:after="0" w:line="221" w:lineRule="auto"/>
        <w:tabs>
          <w:tab w:leader="none" w:pos="2513" w:val="left"/>
        </w:tabs>
        <w:numPr>
          <w:ilvl w:val="2"/>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in respect of a vested Actual PRSU or from any compensation or other amounts owing to the Grantee the amount (in cash, Stock or other property) of any required tax withholding and payroll taxes in respect of such Actual PRSUs vesting or settlement and to take such other action as may be necessary in the opinion of the Company to satisfy all obligations for the payment of such taxes.</w:t>
      </w:r>
    </w:p>
    <w:p>
      <w:pPr>
        <w:spacing w:after="0" w:line="147"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2"/>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vested Actual PRSUs a number of shares with a Fair Market Value equal to such withholding liability.</w:t>
      </w:r>
    </w:p>
    <w:p>
      <w:pPr>
        <w:spacing w:after="0" w:line="143" w:lineRule="exact"/>
        <w:rPr>
          <w:rFonts w:ascii="Times New Roman" w:cs="Times New Roman" w:eastAsia="Times New Roman" w:hAnsi="Times New Roman"/>
          <w:sz w:val="21"/>
          <w:szCs w:val="21"/>
          <w:color w:val="auto"/>
        </w:rPr>
      </w:pPr>
    </w:p>
    <w:p>
      <w:pPr>
        <w:jc w:val="both"/>
        <w:ind w:firstLine="1579"/>
        <w:spacing w:after="0" w:line="225" w:lineRule="auto"/>
        <w:tabs>
          <w:tab w:leader="none" w:pos="1888" w:val="left"/>
        </w:tabs>
        <w:numPr>
          <w:ilvl w:val="1"/>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Actual PRSUs credited to the Grantee pursuant to the Performance Schedule shall, as of such date (or as of the Calculation Date if such dividend occurs before the Calculation Date), be increased by an amount determined by the following formula:</w:t>
      </w:r>
    </w:p>
    <w:p>
      <w:pPr>
        <w:spacing w:after="0" w:line="17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 = the number of additional PRSUs to be credited to the Grantee on such dividend payment date;</w:t>
      </w:r>
    </w:p>
    <w:p>
      <w:pPr>
        <w:spacing w:after="0" w:line="217" w:lineRule="exact"/>
        <w:rPr>
          <w:sz w:val="20"/>
          <w:szCs w:val="20"/>
          <w:color w:val="auto"/>
        </w:rPr>
      </w:pPr>
    </w:p>
    <w:p>
      <w:pPr>
        <w:ind w:left="1900"/>
        <w:spacing w:after="0" w:line="280" w:lineRule="auto"/>
        <w:rPr>
          <w:sz w:val="20"/>
          <w:szCs w:val="20"/>
          <w:color w:val="auto"/>
        </w:rPr>
      </w:pPr>
      <w:r>
        <w:rPr>
          <w:rFonts w:ascii="Times New Roman" w:cs="Times New Roman" w:eastAsia="Times New Roman" w:hAnsi="Times New Roman"/>
          <w:sz w:val="21"/>
          <w:szCs w:val="21"/>
          <w:color w:val="auto"/>
        </w:rPr>
        <w:t>X = the aggregate number of PRSUs (whether vested or unvested) credited to the Grantee as of the record date of the dividend (or the Calculation Date,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1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4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For the avoidance of doubt, no dividend equivalents shall be credited to PRSUs prior to the determination of the number of Actual PRSUs.</w:t>
      </w:r>
    </w:p>
    <w:p>
      <w:pPr>
        <w:spacing w:after="0" w:line="128" w:lineRule="exact"/>
        <w:rPr>
          <w:sz w:val="20"/>
          <w:szCs w:val="20"/>
          <w:color w:val="auto"/>
        </w:rPr>
      </w:pPr>
    </w:p>
    <w:p>
      <w:pPr>
        <w:ind w:left="1900" w:hanging="321"/>
        <w:spacing w:after="0"/>
        <w:tabs>
          <w:tab w:leader="none" w:pos="1900"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unvested PRSUs (or all unvested Actual PRSUs, as applicable) shall be forfeited.</w:t>
      </w:r>
    </w:p>
    <w:p>
      <w:pPr>
        <w:spacing w:after="0" w:line="144"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3"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unvested PRSUs (or all unvested Actual PRSUs, as applicable) according to the terms of this Agreement as though the Grantee’s Service had not terminated. For clarity, the Grantee’s Actual PRSUs shall be determined at the end of the Performance Period according to the Performance Schedule based on actual performance, and such Actual PRSUs shall be settled at the time specified in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9" w:lineRule="auto"/>
        <w:tabs>
          <w:tab w:leader="none" w:pos="2514"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end of the Performance Period, then on the date of the Grantee’s termination or, if later, on the effective date of the Change in Control, the Actual PRSUs shall be vested and settled according to Section 4 hereof. If the Grantee’s Service terminates due to a Change in Control Termination after the end of the Performance Period but before the Settlement Date, then on the date of the Grantee’s termination (or, if later, on the effective date of the Change in Control), all of the Grantee’s Actual PRSUs shall become immediately vested and settled according to Section 4 hereof.</w:t>
      </w:r>
    </w:p>
    <w:p>
      <w:pPr>
        <w:spacing w:after="0" w:line="146" w:lineRule="exact"/>
        <w:rPr>
          <w:rFonts w:ascii="Times New Roman" w:cs="Times New Roman" w:eastAsia="Times New Roman" w:hAnsi="Times New Roman"/>
          <w:sz w:val="21"/>
          <w:szCs w:val="21"/>
          <w:color w:val="auto"/>
        </w:rPr>
      </w:pPr>
    </w:p>
    <w:p>
      <w:pPr>
        <w:jc w:val="both"/>
        <w:ind w:firstLine="1893"/>
        <w:spacing w:after="0" w:line="213" w:lineRule="auto"/>
        <w:tabs>
          <w:tab w:leader="none" w:pos="2513"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Committee’s determines, in its sole discretion, that the Grantee has become Disabled, in each case, after the Grant Date and prior to the end of the Performance Period, then, upon the date of the Grantee’s death or the date the Committee determines the Grantee is Disabled (for purposes of this paragraph, the “determination date”), the following percentage of the Target Number of PRSUs shall become immediately vested, be considered Actual PRSUs and, regardless of the Grantee’s deferral election, be settled as soon as reasonably practicable by the Company issuing shares of Stock to the Grantee (or the Grantee’s designated beneficiary or estate executor in the event of the Grantee’s death): the sum of (i) the Actual PRSUs earned with respect to any completed calendar year in the Performance Period as of the determination date, plus (ii) 100% of the Target Number of PRSUs allocated to any calendar year in the Performance Period that has not yet been completed as of the determination date. In the event the Grantee dies or becomes Disabled (as determined by the Committee in its sole discretion) on or after the end of the Performance Period and prior to (or on) the Settlement Date, the Grantee shall be entitled to receive shares of Stock underlying all vested Actual PRSUs, and regardless of the Grantee’s deferral election, the Company, as soon as reasonably practicable, shall issue the applicable number of shares of Stock to the Grantee (or the Grantee’s designated beneficiary or estate executor in the event of the Grantee’s death).</w:t>
      </w:r>
    </w:p>
    <w:p>
      <w:pPr>
        <w:spacing w:after="0" w:line="151"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4"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is terminated by the Company without Cause after the Grant Date but before the end of the Performance Period (other than due to a Change in Control Termination), then a pro-rata portion of the PRSUs based on a fraction equal to the number of full calendar months that have elapsed from the first day of the Performance Period through and inclusive of the termination date divided by 36 shall remain eligible to vest at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1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Performance Period according to the Performance Schedule based on actual performance, and such vested PRSUs shall be settled at the time specified in Section 4 hereof.</w:t>
      </w:r>
    </w:p>
    <w:p>
      <w:pPr>
        <w:spacing w:after="0" w:line="144" w:lineRule="exact"/>
        <w:rPr>
          <w:sz w:val="20"/>
          <w:szCs w:val="20"/>
          <w:color w:val="auto"/>
        </w:rPr>
      </w:pPr>
    </w:p>
    <w:p>
      <w:pPr>
        <w:jc w:val="both"/>
        <w:ind w:firstLine="1893"/>
        <w:spacing w:after="0" w:line="224" w:lineRule="auto"/>
        <w:tabs>
          <w:tab w:leader="none" w:pos="2517"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PRSUs and Actual PRSUs shall immediately be forfeited and cancelled, whether or not vested, as of the date of the Committee’s determination.</w:t>
      </w:r>
    </w:p>
    <w:p>
      <w:pPr>
        <w:spacing w:after="0" w:line="143" w:lineRule="exact"/>
        <w:rPr>
          <w:rFonts w:ascii="Times New Roman" w:cs="Times New Roman" w:eastAsia="Times New Roman" w:hAnsi="Times New Roman"/>
          <w:sz w:val="21"/>
          <w:szCs w:val="21"/>
          <w:color w:val="auto"/>
        </w:rPr>
      </w:pPr>
    </w:p>
    <w:p>
      <w:pPr>
        <w:ind w:left="1900" w:hanging="321"/>
        <w:spacing w:after="0"/>
        <w:tabs>
          <w:tab w:leader="none" w:pos="1900"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b w:val="1"/>
          <w:bCs w:val="1"/>
          <w:color w:val="auto"/>
        </w:rPr>
      </w:pPr>
    </w:p>
    <w:p>
      <w:pPr>
        <w:ind w:firstLine="1893"/>
        <w:spacing w:after="0" w:line="241" w:lineRule="auto"/>
        <w:tabs>
          <w:tab w:leader="none" w:pos="2514"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firstLine="1893"/>
        <w:spacing w:after="0" w:line="224" w:lineRule="auto"/>
        <w:tabs>
          <w:tab w:leader="none" w:pos="2513"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PRSUs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43" w:lineRule="exact"/>
        <w:rPr>
          <w:rFonts w:ascii="Times New Roman" w:cs="Times New Roman" w:eastAsia="Times New Roman" w:hAnsi="Times New Roman"/>
          <w:sz w:val="21"/>
          <w:szCs w:val="21"/>
          <w:color w:val="auto"/>
        </w:rPr>
      </w:pPr>
    </w:p>
    <w:p>
      <w:pPr>
        <w:jc w:val="both"/>
        <w:ind w:firstLine="1579"/>
        <w:spacing w:after="0" w:line="231" w:lineRule="auto"/>
        <w:tabs>
          <w:tab w:leader="none" w:pos="1888"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PRSUs granted herein are not transferable by the Grantee other than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beneficiary upon death, by will or the laws of descent and distribution, to a trust solely for the benefit of the Grantee or his/her immediate family or, in the case of the PRSUs being held by such a trust, by the trustee.</w:t>
      </w:r>
    </w:p>
    <w:p>
      <w:pPr>
        <w:spacing w:after="0" w:line="141" w:lineRule="exact"/>
        <w:rPr>
          <w:rFonts w:ascii="Times New Roman" w:cs="Times New Roman" w:eastAsia="Times New Roman" w:hAnsi="Times New Roman"/>
          <w:sz w:val="21"/>
          <w:szCs w:val="21"/>
          <w:b w:val="1"/>
          <w:bCs w:val="1"/>
          <w:color w:val="auto"/>
        </w:rPr>
      </w:pPr>
    </w:p>
    <w:p>
      <w:pPr>
        <w:ind w:left="1900" w:hanging="321"/>
        <w:spacing w:after="0"/>
        <w:tabs>
          <w:tab w:leader="none" w:pos="1900"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b w:val="1"/>
          <w:bCs w:val="1"/>
          <w:color w:val="auto"/>
        </w:rPr>
      </w:pPr>
    </w:p>
    <w:p>
      <w:pPr>
        <w:jc w:val="both"/>
        <w:ind w:firstLine="1893"/>
        <w:spacing w:after="0" w:line="244" w:lineRule="auto"/>
        <w:tabs>
          <w:tab w:leader="none" w:pos="2344"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 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1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35" w:lineRule="exact"/>
        <w:rPr>
          <w:sz w:val="20"/>
          <w:szCs w:val="20"/>
          <w:color w:val="auto"/>
        </w:rPr>
      </w:pPr>
    </w:p>
    <w:p>
      <w:pPr>
        <w:jc w:val="both"/>
        <w:ind w:firstLine="1893"/>
        <w:spacing w:after="0" w:line="257" w:lineRule="auto"/>
        <w:tabs>
          <w:tab w:leader="none" w:pos="2343"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If the Grantee shall at any time violate the provisions of Section 9(a), (b), or (c), the Grantee shall immediately forfeit his/her Actual PRSUs (whether vested or unvested) and any issuance of shares of Stock that occurs after (or within six (6) months before) any such violation shall be void ab initio.</w:t>
      </w:r>
    </w:p>
    <w:p>
      <w:pPr>
        <w:spacing w:after="0" w:line="168" w:lineRule="exact"/>
        <w:rPr>
          <w:rFonts w:ascii="Times New Roman" w:cs="Times New Roman" w:eastAsia="Times New Roman" w:hAnsi="Times New Roman"/>
          <w:sz w:val="21"/>
          <w:szCs w:val="21"/>
          <w:color w:val="auto"/>
        </w:rPr>
      </w:pPr>
    </w:p>
    <w:p>
      <w:pPr>
        <w:jc w:val="both"/>
        <w:ind w:firstLine="1893"/>
        <w:spacing w:after="0" w:line="257" w:lineRule="auto"/>
        <w:tabs>
          <w:tab w:leader="none" w:pos="2409"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81" w:lineRule="exact"/>
        <w:rPr>
          <w:rFonts w:ascii="Times New Roman" w:cs="Times New Roman" w:eastAsia="Times New Roman" w:hAnsi="Times New Roman"/>
          <w:sz w:val="21"/>
          <w:szCs w:val="21"/>
          <w:color w:val="auto"/>
        </w:rPr>
      </w:pPr>
    </w:p>
    <w:p>
      <w:pPr>
        <w:jc w:val="both"/>
        <w:ind w:firstLine="1893"/>
        <w:spacing w:after="0" w:line="255" w:lineRule="auto"/>
        <w:tabs>
          <w:tab w:leader="none" w:pos="2212"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55" w:lineRule="exact"/>
        <w:rPr>
          <w:rFonts w:ascii="Times New Roman" w:cs="Times New Roman" w:eastAsia="Times New Roman" w:hAnsi="Times New Roman"/>
          <w:sz w:val="21"/>
          <w:szCs w:val="21"/>
          <w:color w:val="auto"/>
        </w:rPr>
      </w:pPr>
    </w:p>
    <w:p>
      <w:pPr>
        <w:jc w:val="both"/>
        <w:ind w:firstLine="1579"/>
        <w:spacing w:after="0" w:line="225" w:lineRule="auto"/>
        <w:tabs>
          <w:tab w:leader="none" w:pos="1888"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Actual PRSUs shall have no rights as a stockholder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any share of Stock covered by the Actual PRSUs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2" w:lineRule="auto"/>
        <w:tabs>
          <w:tab w:leader="none" w:pos="1877"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color w:val="auto"/>
        </w:rPr>
        <w:t>. 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42" w:lineRule="exact"/>
        <w:rPr>
          <w:rFonts w:ascii="Times New Roman" w:cs="Times New Roman" w:eastAsia="Times New Roman" w:hAnsi="Times New Roman"/>
          <w:sz w:val="21"/>
          <w:szCs w:val="21"/>
          <w:b w:val="1"/>
          <w:bCs w:val="1"/>
          <w:color w:val="auto"/>
        </w:rPr>
      </w:pPr>
    </w:p>
    <w:p>
      <w:pPr>
        <w:jc w:val="both"/>
        <w:ind w:firstLine="1579"/>
        <w:spacing w:after="0" w:line="218" w:lineRule="auto"/>
        <w:tabs>
          <w:tab w:leader="none" w:pos="1888"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1579"/>
        <w:spacing w:after="0" w:line="225" w:lineRule="auto"/>
        <w:tabs>
          <w:tab w:leader="none" w:pos="1888"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43"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 executors,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administrators and successors of the parties hereto.</w:t>
      </w:r>
    </w:p>
    <w:p>
      <w:pPr>
        <w:spacing w:after="0" w:line="136" w:lineRule="exact"/>
        <w:rPr>
          <w:rFonts w:ascii="Times New Roman" w:cs="Times New Roman" w:eastAsia="Times New Roman" w:hAnsi="Times New Roman"/>
          <w:sz w:val="21"/>
          <w:szCs w:val="21"/>
          <w:b w:val="1"/>
          <w:bCs w:val="1"/>
          <w:color w:val="auto"/>
        </w:rPr>
      </w:pPr>
    </w:p>
    <w:p>
      <w:pPr>
        <w:ind w:firstLine="1579"/>
        <w:spacing w:after="0" w:line="245" w:lineRule="auto"/>
        <w:tabs>
          <w:tab w:leader="none" w:pos="1888"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 any conditions or rights under, amend any terms of, or alter,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1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 xml:space="preserve">suspend, discontinue, cancel or terminate, any portion of the PRSUs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PRSUs already granted shall not to that extent be effective without the consent of the Grantee.</w:t>
      </w:r>
    </w:p>
    <w:p>
      <w:pPr>
        <w:spacing w:after="0" w:line="141" w:lineRule="exact"/>
        <w:rPr>
          <w:sz w:val="20"/>
          <w:szCs w:val="20"/>
          <w:color w:val="auto"/>
        </w:rPr>
      </w:pPr>
    </w:p>
    <w:p>
      <w:pPr>
        <w:jc w:val="both"/>
        <w:ind w:firstLine="1579"/>
        <w:spacing w:after="0" w:line="219" w:lineRule="auto"/>
        <w:tabs>
          <w:tab w:leader="none" w:pos="1888"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PRSUs are subject to the terms of Plan, and the NQDC Plan if the PRSUs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46" w:lineRule="exact"/>
        <w:rPr>
          <w:rFonts w:ascii="Times New Roman" w:cs="Times New Roman" w:eastAsia="Times New Roman" w:hAnsi="Times New Roman"/>
          <w:sz w:val="21"/>
          <w:szCs w:val="21"/>
          <w:b w:val="1"/>
          <w:bCs w:val="1"/>
          <w:color w:val="auto"/>
        </w:rPr>
      </w:pPr>
    </w:p>
    <w:p>
      <w:pPr>
        <w:jc w:val="both"/>
        <w:ind w:firstLine="1579"/>
        <w:spacing w:after="0" w:line="231" w:lineRule="auto"/>
        <w:tabs>
          <w:tab w:leader="none" w:pos="1888"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 laws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State of Delaware without regard to the principles of conflicts of law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1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1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9"/>
          <w:szCs w:val="19"/>
          <w:b w:val="1"/>
          <w:bCs w:val="1"/>
          <w:color w:val="auto"/>
        </w:rPr>
        <w:t>Exhibit 10.55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i w:val="1"/>
          <w:iCs w:val="1"/>
          <w:color w:val="auto"/>
        </w:rPr>
        <w:t>Non-Executive Form</w:t>
      </w:r>
    </w:p>
    <w:p>
      <w:pPr>
        <w:spacing w:after="0" w:line="200" w:lineRule="exact"/>
        <w:rPr>
          <w:sz w:val="20"/>
          <w:szCs w:val="20"/>
          <w:color w:val="auto"/>
        </w:rPr>
      </w:pPr>
    </w:p>
    <w:p>
      <w:pPr>
        <w:spacing w:after="0" w:line="34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 – Performance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20"/>
          </w:cols>
          <w:pgMar w:left="1440" w:top="11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1"/>
          <w:szCs w:val="21"/>
          <w:b w:val="1"/>
          <w:bCs w:val="1"/>
          <w:color w:val="auto"/>
        </w:rPr>
        <w:t>AMN HEALTHCARE EQUITY PLAN</w:t>
      </w:r>
    </w:p>
    <w:p>
      <w:pPr>
        <w:spacing w:after="0" w:line="36"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p>
      <w:pPr>
        <w:spacing w:after="0" w:line="3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Grant Date:</w:t>
      </w:r>
    </w:p>
    <w:p>
      <w:pPr>
        <w:spacing w:after="0" w:line="2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Grantee:</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Units Granted:</w:t>
      </w:r>
    </w:p>
    <w:p>
      <w:pPr>
        <w:spacing w:after="0" w:line="200" w:lineRule="exact"/>
        <w:rPr>
          <w:sz w:val="20"/>
          <w:szCs w:val="20"/>
          <w:color w:val="auto"/>
        </w:rPr>
      </w:pPr>
    </w:p>
    <w:p>
      <w:pPr>
        <w:spacing w:after="0" w:line="236" w:lineRule="exact"/>
        <w:rPr>
          <w:sz w:val="20"/>
          <w:szCs w:val="20"/>
          <w:color w:val="auto"/>
        </w:rPr>
      </w:pPr>
    </w:p>
    <w:p>
      <w:pPr>
        <w:jc w:val="center"/>
        <w:ind w:right="92"/>
        <w:spacing w:after="0" w:line="284" w:lineRule="auto"/>
        <w:rPr>
          <w:sz w:val="20"/>
          <w:szCs w:val="20"/>
          <w:color w:val="auto"/>
        </w:rPr>
      </w:pPr>
      <w:r>
        <w:rPr>
          <w:rFonts w:ascii="Times New Roman" w:cs="Times New Roman" w:eastAsia="Times New Roman" w:hAnsi="Times New Roman"/>
          <w:sz w:val="21"/>
          <w:szCs w:val="21"/>
          <w:b w:val="1"/>
          <w:bCs w:val="1"/>
          <w:color w:val="auto"/>
        </w:rPr>
        <w:t>THIS RESTRICTED STOCK UNIT AGREEMENT (the “Agreement”), made as of the Grant Date (as defined herein) by and between AMN Healthcare Services, Inc. (the “Company”), a Delaware corporation, and the Grantee.</w:t>
      </w:r>
    </w:p>
    <w:p>
      <w:pPr>
        <w:spacing w:after="0" w:line="15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8" w:right="100" w:firstLine="1258"/>
        <w:spacing w:after="0" w:line="258" w:lineRule="auto"/>
        <w:rPr>
          <w:sz w:val="20"/>
          <w:szCs w:val="20"/>
          <w:color w:val="auto"/>
        </w:rPr>
      </w:pPr>
      <w:r>
        <w:rPr>
          <w:rFonts w:ascii="Times New Roman" w:cs="Times New Roman" w:eastAsia="Times New Roman" w:hAnsi="Times New Roman"/>
          <w:sz w:val="21"/>
          <w:szCs w:val="21"/>
          <w:color w:val="auto"/>
        </w:rPr>
        <w:t>WHEREAS, the Company sponsors the AMN Healthcare 2025 Equity Plan, (as may be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desires to afford the Grantee the opportunity to share in the appreciation of the Company’s common stock, par value $.01 per share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thereunder, thereby strengthening the Grantee’s commitment to the welfare of the Company and Affiliates and promoting an identity of interest between stockholders and the Grantee.</w:t>
      </w:r>
    </w:p>
    <w:p>
      <w:pPr>
        <w:spacing w:after="0" w:line="181" w:lineRule="exact"/>
        <w:rPr>
          <w:sz w:val="20"/>
          <w:szCs w:val="20"/>
          <w:color w:val="auto"/>
        </w:rPr>
      </w:pPr>
    </w:p>
    <w:p>
      <w:pPr>
        <w:jc w:val="both"/>
        <w:ind w:left="8" w:right="100" w:firstLine="1258"/>
        <w:spacing w:after="0" w:line="280" w:lineRule="auto"/>
        <w:rPr>
          <w:sz w:val="20"/>
          <w:szCs w:val="20"/>
          <w:color w:val="auto"/>
        </w:rPr>
      </w:pPr>
      <w:r>
        <w:rPr>
          <w:rFonts w:ascii="Times New Roman" w:cs="Times New Roman" w:eastAsia="Times New Roman" w:hAnsi="Times New Roman"/>
          <w:sz w:val="21"/>
          <w:szCs w:val="21"/>
          <w:color w:val="auto"/>
        </w:rPr>
        <w:t>NOW THEREFORE, in consideration of the covenants and agreements herein contained, the parties hereto hereby agree as follows:</w:t>
      </w:r>
    </w:p>
    <w:p>
      <w:pPr>
        <w:spacing w:after="0" w:line="141" w:lineRule="exact"/>
        <w:rPr>
          <w:sz w:val="20"/>
          <w:szCs w:val="20"/>
          <w:color w:val="auto"/>
        </w:rPr>
      </w:pPr>
    </w:p>
    <w:p>
      <w:pPr>
        <w:ind w:left="1888" w:hanging="314"/>
        <w:spacing w:after="0"/>
        <w:tabs>
          <w:tab w:leader="none" w:pos="1888" w:val="left"/>
        </w:tabs>
        <w:numPr>
          <w:ilvl w:val="0"/>
          <w:numId w:val="1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ind w:left="8" w:right="120" w:firstLine="1887"/>
        <w:spacing w:after="0" w:line="280" w:lineRule="auto"/>
        <w:rPr>
          <w:sz w:val="20"/>
          <w:szCs w:val="20"/>
          <w:color w:val="auto"/>
        </w:rPr>
      </w:pPr>
      <w:r>
        <w:rPr>
          <w:rFonts w:ascii="Times New Roman" w:cs="Times New Roman" w:eastAsia="Times New Roman" w:hAnsi="Times New Roman"/>
          <w:sz w:val="21"/>
          <w:szCs w:val="21"/>
          <w:color w:val="auto"/>
        </w:rPr>
        <w:t>The following definitions shall be applicable throughout the Agreement. Where capitalized terms are used but not defined herein, their meaning shall be that set forth in the Plan (unless the context indicates otherwise).</w:t>
      </w:r>
    </w:p>
    <w:p>
      <w:pPr>
        <w:spacing w:after="0" w:line="158" w:lineRule="exact"/>
        <w:rPr>
          <w:sz w:val="20"/>
          <w:szCs w:val="20"/>
          <w:color w:val="auto"/>
        </w:rPr>
      </w:pPr>
    </w:p>
    <w:p>
      <w:pPr>
        <w:jc w:val="both"/>
        <w:ind w:left="8" w:right="100" w:firstLine="1879"/>
        <w:spacing w:after="0" w:line="264" w:lineRule="auto"/>
        <w:tabs>
          <w:tab w:leader="none" w:pos="2429"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(i) any entity that directly or indirectly is controlled by, or is under common control with, the Company and (ii) any entity in which the Company has a significant equity interest, in either case, as determined by the Committee.</w:t>
      </w:r>
    </w:p>
    <w:p>
      <w:pPr>
        <w:spacing w:after="0" w:line="134" w:lineRule="exact"/>
        <w:rPr>
          <w:rFonts w:ascii="Times New Roman" w:cs="Times New Roman" w:eastAsia="Times New Roman" w:hAnsi="Times New Roman"/>
          <w:sz w:val="21"/>
          <w:szCs w:val="21"/>
          <w:color w:val="auto"/>
        </w:rPr>
      </w:pPr>
    </w:p>
    <w:p>
      <w:pPr>
        <w:ind w:left="2428" w:hanging="541"/>
        <w:spacing w:after="0"/>
        <w:tabs>
          <w:tab w:leader="none" w:pos="2428" w:val="left"/>
        </w:tabs>
        <w:numPr>
          <w:ilvl w:val="1"/>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any of the following:</w:t>
      </w:r>
    </w:p>
    <w:p>
      <w:pPr>
        <w:spacing w:after="0" w:line="18" w:lineRule="exact"/>
        <w:rPr>
          <w:rFonts w:ascii="Times New Roman" w:cs="Times New Roman" w:eastAsia="Times New Roman" w:hAnsi="Times New Roman"/>
          <w:sz w:val="19"/>
          <w:szCs w:val="19"/>
          <w:color w:val="auto"/>
        </w:rPr>
      </w:pPr>
    </w:p>
    <w:p>
      <w:pPr>
        <w:ind w:left="348" w:hanging="348"/>
        <w:spacing w:after="0"/>
        <w:tabs>
          <w:tab w:leader="none" w:pos="34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Grantee’s failure to perform in any material respect his or her duties as an employee of the Company, (B) Grantee’s violation</w:t>
      </w:r>
    </w:p>
    <w:p>
      <w:pPr>
        <w:spacing w:after="0" w:line="8" w:lineRule="exact"/>
        <w:rPr>
          <w:sz w:val="20"/>
          <w:szCs w:val="20"/>
          <w:color w:val="auto"/>
        </w:rPr>
      </w:pPr>
    </w:p>
    <w:p>
      <w:pPr>
        <w:ind w:left="8" w:right="100"/>
        <w:spacing w:after="0" w:line="254" w:lineRule="auto"/>
        <w:rPr>
          <w:sz w:val="20"/>
          <w:szCs w:val="20"/>
          <w:color w:val="auto"/>
        </w:rPr>
      </w:pPr>
      <w:r>
        <w:rPr>
          <w:rFonts w:ascii="Times New Roman" w:cs="Times New Roman" w:eastAsia="Times New Roman" w:hAnsi="Times New Roman"/>
          <w:sz w:val="21"/>
          <w:szCs w:val="21"/>
          <w:color w:val="auto"/>
        </w:rPr>
        <w:t>of the Company’s Code of Business Conduct, Code of Ethics for Senior Financial Officers and Principal Executive Officer, and/or Securities Trading Policy,</w:t>
      </w:r>
    </w:p>
    <w:p>
      <w:pPr>
        <w:jc w:val="both"/>
        <w:ind w:left="8" w:right="100" w:hanging="8"/>
        <w:spacing w:after="0" w:line="249" w:lineRule="auto"/>
        <w:tabs>
          <w:tab w:leader="none" w:pos="353"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engaging by Grantee in willful misconduct or gross negligence which is injurious to the Company or any of its affiliates, monetarily or otherwise, (D) the commission by the Grantee of an act of fraud or embezzlement against the Company or any of its affiliates, (E) the conviction of the Grantee of a crime which constitutes a felony or any lesser crime that involves Company property or a pleading of guilty or nolo contendere with respect to a crime which constitutes a felony or any lesser crime that involves Company property. or (F) violation of any of the restrictive covenants in Section 9 hereof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148"/>
          </w:cols>
          <w:pgMar w:left="412" w:top="6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40" w:hanging="359"/>
        <w:spacing w:after="0"/>
        <w:tabs>
          <w:tab w:leader="none" w:pos="22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pacing w:after="0" w:line="217" w:lineRule="exact"/>
        <w:rPr>
          <w:rFonts w:ascii="Times New Roman" w:cs="Times New Roman" w:eastAsia="Times New Roman" w:hAnsi="Times New Roman"/>
          <w:sz w:val="21"/>
          <w:szCs w:val="21"/>
          <w:color w:val="auto"/>
        </w:rPr>
      </w:pPr>
    </w:p>
    <w:p>
      <w:pPr>
        <w:jc w:val="both"/>
        <w:ind w:right="100" w:firstLine="2510"/>
        <w:spacing w:after="0" w:line="263" w:lineRule="auto"/>
        <w:tabs>
          <w:tab w:leader="none" w:pos="3057"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 “Person”) of beneficial ownership (within the meaning of Rule 13d-3 promulgated under the Exchange Act) of a majority of the combined voting power of the then outstanding voting securities of the Company entitled to vote generally in the election of directors;</w:t>
      </w:r>
    </w:p>
    <w:p>
      <w:pPr>
        <w:spacing w:after="0" w:line="139" w:lineRule="exact"/>
        <w:rPr>
          <w:rFonts w:ascii="Times New Roman" w:cs="Times New Roman" w:eastAsia="Times New Roman" w:hAnsi="Times New Roman"/>
          <w:sz w:val="21"/>
          <w:szCs w:val="21"/>
          <w:color w:val="auto"/>
        </w:rPr>
      </w:pPr>
    </w:p>
    <w:p>
      <w:pPr>
        <w:ind w:left="3040" w:hanging="530"/>
        <w:spacing w:after="0"/>
        <w:tabs>
          <w:tab w:leader="none" w:pos="3040"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of all or substantially all of the business or assets of the Company; or</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55" w:lineRule="exact"/>
        <w:rPr>
          <w:rFonts w:ascii="Times New Roman" w:cs="Times New Roman" w:eastAsia="Times New Roman" w:hAnsi="Times New Roman"/>
          <w:sz w:val="19"/>
          <w:szCs w:val="19"/>
          <w:color w:val="auto"/>
        </w:rPr>
      </w:pPr>
    </w:p>
    <w:p>
      <w:pPr>
        <w:ind w:left="3120" w:hanging="609"/>
        <w:spacing w:after="0"/>
        <w:tabs>
          <w:tab w:leader="none" w:pos="3120"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similar form</w:t>
      </w:r>
    </w:p>
    <w:p>
      <w:pPr>
        <w:spacing w:after="0" w:line="3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1"/>
          <w:szCs w:val="21"/>
          <w:color w:val="auto"/>
        </w:rPr>
        <w:t>of corporate transaction involving the Company that requires the approval of the Company’s stockholders, whether for such transaction or the issuance of securities in the transaction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if immediately following such Business Combination: (A) a Person is or becomes the beneficial owner, directly or indirectly, of a majority of the combined voting power of the outstanding voting securities eligible to elect directors of the Parent Corporation (or, if there is no Parent Corporation, the Surviving Corporation), or (B) the Company’s stockholders prior to the Business Combination thereafter cease to beneficially own, directly or indirectly, a majority of the combined voting power of the outstanding voting securities eligible to elect directors of the Parent Corporation (or, if there is no Parent Corporation, the Surviving Corporation), counting for this purpose only voting securities of the Parent Corporation (or, if there is no Parent Corporation, the Surviving Corporation) received by such stockholders in connection with the Business Combination. “Surviving Corporation” shall mean the corporation resulting from a Business Combination, and “Parent Corporation” shall mean the ultimate parent corporation that directly or indirectly has beneficial ownership of a majority of the combined voting power of the then outstanding voting securities of the Surviving Corporation entitled to vote generally in the election of directors.</w:t>
      </w:r>
    </w:p>
    <w:p>
      <w:pPr>
        <w:spacing w:after="0" w:line="183" w:lineRule="exact"/>
        <w:rPr>
          <w:sz w:val="20"/>
          <w:szCs w:val="20"/>
          <w:color w:val="auto"/>
        </w:rPr>
      </w:pPr>
    </w:p>
    <w:p>
      <w:pPr>
        <w:ind w:right="100" w:firstLine="1879"/>
        <w:spacing w:after="0" w:line="293" w:lineRule="auto"/>
        <w:tabs>
          <w:tab w:leader="none" w:pos="24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Termination</w:t>
      </w:r>
      <w:r>
        <w:rPr>
          <w:rFonts w:ascii="Times New Roman" w:cs="Times New Roman" w:eastAsia="Times New Roman" w:hAnsi="Times New Roman"/>
          <w:sz w:val="21"/>
          <w:szCs w:val="21"/>
          <w:color w:val="auto"/>
        </w:rPr>
        <w:t>” means the Company’s termination of the Grantee’s Service without Cause (other than due to death or Disability) during the Protection Period.</w:t>
      </w:r>
    </w:p>
    <w:p>
      <w:pPr>
        <w:spacing w:after="0" w:line="131" w:lineRule="exact"/>
        <w:rPr>
          <w:rFonts w:ascii="Times New Roman" w:cs="Times New Roman" w:eastAsia="Times New Roman" w:hAnsi="Times New Roman"/>
          <w:sz w:val="21"/>
          <w:szCs w:val="21"/>
          <w:color w:val="auto"/>
        </w:rPr>
      </w:pPr>
    </w:p>
    <w:p>
      <w:pPr>
        <w:jc w:val="both"/>
        <w:ind w:right="100" w:firstLine="1879"/>
        <w:spacing w:after="0" w:line="255" w:lineRule="auto"/>
        <w:tabs>
          <w:tab w:leader="none" w:pos="2422"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Credited Service</w:t>
      </w:r>
      <w:r>
        <w:rPr>
          <w:rFonts w:ascii="Times New Roman" w:cs="Times New Roman" w:eastAsia="Times New Roman" w:hAnsi="Times New Roman"/>
          <w:sz w:val="21"/>
          <w:szCs w:val="21"/>
          <w:color w:val="auto"/>
        </w:rPr>
        <w:t>” means the performance of Service on a substantially full time basis for a continuous twelve-month period. For this purpose, substantially full time basis shall mean that the Grantee provides regular and recurring services to the Company of at least 32 hours each week. The taking of approved paid time off or legally mandated leave, such as FMLA, does not interrupt this period of Credited Service. Notwithstanding the foregoing, the Committee may treat periods of less than full time employment, in whole or in part, as Credited Service in its sole discretion.</w:t>
      </w:r>
    </w:p>
    <w:p>
      <w:pPr>
        <w:spacing w:after="0" w:line="159" w:lineRule="exact"/>
        <w:rPr>
          <w:rFonts w:ascii="Times New Roman" w:cs="Times New Roman" w:eastAsia="Times New Roman" w:hAnsi="Times New Roman"/>
          <w:sz w:val="21"/>
          <w:szCs w:val="21"/>
          <w:color w:val="auto"/>
        </w:rPr>
      </w:pPr>
    </w:p>
    <w:p>
      <w:pPr>
        <w:ind w:left="2420" w:hanging="541"/>
        <w:spacing w:after="0"/>
        <w:tabs>
          <w:tab w:leader="none" w:pos="24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has the meaning set forth in Section 13(c)(ii) of the Plan.</w:t>
      </w:r>
    </w:p>
    <w:p>
      <w:pPr>
        <w:spacing w:after="0" w:line="178" w:lineRule="exact"/>
        <w:rPr>
          <w:rFonts w:ascii="Times New Roman" w:cs="Times New Roman" w:eastAsia="Times New Roman" w:hAnsi="Times New Roman"/>
          <w:sz w:val="21"/>
          <w:szCs w:val="21"/>
          <w:color w:val="auto"/>
        </w:rPr>
      </w:pPr>
    </w:p>
    <w:p>
      <w:pPr>
        <w:ind w:left="2420" w:hanging="541"/>
        <w:spacing w:after="0"/>
        <w:tabs>
          <w:tab w:leader="none" w:pos="242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is the date the Committee authorized this RSU grant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40"/>
          </w:cols>
          <w:pgMar w:left="420" w:top="6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20" w:firstLine="1879"/>
        <w:spacing w:after="0" w:line="241" w:lineRule="auto"/>
        <w:tabs>
          <w:tab w:leader="none" w:pos="2426"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NQDC Plan</w:t>
      </w:r>
      <w:r>
        <w:rPr>
          <w:rFonts w:ascii="Times New Roman" w:cs="Times New Roman" w:eastAsia="Times New Roman" w:hAnsi="Times New Roman"/>
          <w:sz w:val="21"/>
          <w:szCs w:val="21"/>
          <w:color w:val="auto"/>
        </w:rPr>
        <w:t>” means the Company’s 2005 Amended and Restated Executive Nonqualified Excess Plan, as may be amended from time to time.</w:t>
      </w:r>
    </w:p>
    <w:p>
      <w:pPr>
        <w:spacing w:after="0" w:line="144" w:lineRule="exact"/>
        <w:rPr>
          <w:rFonts w:ascii="Times New Roman" w:cs="Times New Roman" w:eastAsia="Times New Roman" w:hAnsi="Times New Roman"/>
          <w:sz w:val="19"/>
          <w:szCs w:val="19"/>
          <w:color w:val="auto"/>
        </w:rPr>
      </w:pPr>
    </w:p>
    <w:p>
      <w:pPr>
        <w:ind w:right="120" w:firstLine="1879"/>
        <w:spacing w:after="0" w:line="241" w:lineRule="auto"/>
        <w:tabs>
          <w:tab w:leader="none" w:pos="242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Protection Period</w:t>
      </w:r>
      <w:r>
        <w:rPr>
          <w:rFonts w:ascii="Times New Roman" w:cs="Times New Roman" w:eastAsia="Times New Roman" w:hAnsi="Times New Roman"/>
          <w:sz w:val="21"/>
          <w:szCs w:val="21"/>
          <w:color w:val="auto"/>
        </w:rPr>
        <w:t>” means the period beginning on the date that is six (6) months before the effective date of a Change in Control and ending on the second anniversary of the effective date of the Change in Control</w:t>
      </w:r>
    </w:p>
    <w:p>
      <w:pPr>
        <w:spacing w:after="0" w:line="170" w:lineRule="exact"/>
        <w:rPr>
          <w:rFonts w:ascii="Times New Roman" w:cs="Times New Roman" w:eastAsia="Times New Roman" w:hAnsi="Times New Roman"/>
          <w:sz w:val="21"/>
          <w:szCs w:val="21"/>
          <w:color w:val="auto"/>
        </w:rPr>
      </w:pPr>
    </w:p>
    <w:p>
      <w:pPr>
        <w:ind w:left="2420" w:hanging="541"/>
        <w:spacing w:after="0"/>
        <w:tabs>
          <w:tab w:leader="none" w:pos="242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means the restricted stock unit granted under Section 2.</w:t>
      </w:r>
    </w:p>
    <w:p>
      <w:pPr>
        <w:spacing w:after="0" w:line="217" w:lineRule="exact"/>
        <w:rPr>
          <w:rFonts w:ascii="Times New Roman" w:cs="Times New Roman" w:eastAsia="Times New Roman" w:hAnsi="Times New Roman"/>
          <w:sz w:val="21"/>
          <w:szCs w:val="21"/>
          <w:color w:val="auto"/>
        </w:rPr>
      </w:pPr>
    </w:p>
    <w:p>
      <w:pPr>
        <w:jc w:val="both"/>
        <w:ind w:right="100" w:firstLine="1879"/>
        <w:spacing w:after="0" w:line="263" w:lineRule="auto"/>
        <w:tabs>
          <w:tab w:leader="none" w:pos="242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termination of Grantee’s Service on or after attainment of age 55 with at least 15 full years of aggregate Service and provided further that the Grantee does not subsequently obtain employment with another employer. For clarity, only twelve (12) months of continuous Service shall count as a full year of Service for purposes of determining if Grantee is eligible for Retirement.</w:t>
      </w:r>
    </w:p>
    <w:p>
      <w:pPr>
        <w:spacing w:after="0" w:line="161" w:lineRule="exact"/>
        <w:rPr>
          <w:rFonts w:ascii="Times New Roman" w:cs="Times New Roman" w:eastAsia="Times New Roman" w:hAnsi="Times New Roman"/>
          <w:sz w:val="21"/>
          <w:szCs w:val="21"/>
          <w:color w:val="auto"/>
        </w:rPr>
      </w:pPr>
    </w:p>
    <w:p>
      <w:pPr>
        <w:ind w:right="120" w:firstLine="1879"/>
        <w:spacing w:after="0" w:line="280" w:lineRule="auto"/>
        <w:tabs>
          <w:tab w:leader="none" w:pos="2426"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means the performance of services for the Company (or any Affiliate) by a person in the capacity of an officer or other employee or key person (including consultants).</w:t>
      </w:r>
    </w:p>
    <w:p>
      <w:pPr>
        <w:spacing w:after="0" w:line="153" w:lineRule="exact"/>
        <w:rPr>
          <w:rFonts w:ascii="Times New Roman" w:cs="Times New Roman" w:eastAsia="Times New Roman" w:hAnsi="Times New Roman"/>
          <w:sz w:val="21"/>
          <w:szCs w:val="21"/>
          <w:color w:val="auto"/>
        </w:rPr>
      </w:pPr>
    </w:p>
    <w:p>
      <w:pPr>
        <w:ind w:right="100" w:firstLine="1565"/>
        <w:spacing w:after="0" w:line="284" w:lineRule="auto"/>
        <w:tabs>
          <w:tab w:leader="none" w:pos="1796"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Subject to the terms and conditions set forth herein, the Company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grants to the Grantee an aggregate number of Restricted Stock Units (“RSUs”) as set forth above.</w:t>
      </w:r>
    </w:p>
    <w:p>
      <w:pPr>
        <w:spacing w:after="0" w:line="136" w:lineRule="exact"/>
        <w:rPr>
          <w:rFonts w:ascii="Times New Roman" w:cs="Times New Roman" w:eastAsia="Times New Roman" w:hAnsi="Times New Roman"/>
          <w:sz w:val="21"/>
          <w:szCs w:val="21"/>
          <w:b w:val="1"/>
          <w:bCs w:val="1"/>
          <w:color w:val="auto"/>
        </w:rPr>
      </w:pPr>
    </w:p>
    <w:p>
      <w:pPr>
        <w:jc w:val="both"/>
        <w:ind w:right="100" w:firstLine="1565"/>
        <w:spacing w:after="0" w:line="266" w:lineRule="auto"/>
        <w:tabs>
          <w:tab w:leader="none" w:pos="1796"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Schedule</w:t>
      </w:r>
      <w:r>
        <w:rPr>
          <w:rFonts w:ascii="Times New Roman" w:cs="Times New Roman" w:eastAsia="Times New Roman" w:hAnsi="Times New Roman"/>
          <w:sz w:val="21"/>
          <w:szCs w:val="21"/>
          <w:color w:val="auto"/>
        </w:rPr>
        <w:t>. No RSUs may be settled until they shall have vested. Except as otherwise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or in the Plan, the RSUs will vest on and after the third anniversary of the Grant Date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the Grantee’s provision of three periods of Credited Service.</w:t>
      </w:r>
    </w:p>
    <w:p>
      <w:pPr>
        <w:spacing w:after="0" w:line="167" w:lineRule="exact"/>
        <w:rPr>
          <w:rFonts w:ascii="Times New Roman" w:cs="Times New Roman" w:eastAsia="Times New Roman" w:hAnsi="Times New Roman"/>
          <w:sz w:val="21"/>
          <w:szCs w:val="21"/>
          <w:b w:val="1"/>
          <w:bCs w:val="1"/>
          <w:color w:val="auto"/>
        </w:rPr>
      </w:pPr>
    </w:p>
    <w:p>
      <w:pPr>
        <w:ind w:left="1880" w:hanging="314"/>
        <w:spacing w:after="0"/>
        <w:tabs>
          <w:tab w:leader="none" w:pos="1880"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Settlement and Deferral of RSUs</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b w:val="1"/>
          <w:bCs w:val="1"/>
          <w:color w:val="auto"/>
        </w:rPr>
      </w:pPr>
    </w:p>
    <w:p>
      <w:pPr>
        <w:jc w:val="both"/>
        <w:ind w:right="100" w:firstLine="1879"/>
        <w:spacing w:after="0" w:line="256" w:lineRule="auto"/>
        <w:tabs>
          <w:tab w:leader="none" w:pos="2422"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vested RSU entitles the Grantee to receive one share of Stock on the “</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which shall be the later of (i) the vesting date for such RSU, provided, however, if there is an accelerated vesting of all or a portion of the RSUs under Section 6 hereof, then the Settlement Date for any such accelerated RSUs shall be the date on which it is determined that the conditions to acceleration have been met or (ii) the end of the deferral period specified by the Grantee. The deferral period shall be no less than four (4) years and five (5) days from the Grant Date. Such deferral election shall be made within 30 days of the Grant Date. The deferral of RSUs shall be subject to the NQDC Plan and the applicable deferral election.</w:t>
      </w:r>
    </w:p>
    <w:p>
      <w:pPr>
        <w:spacing w:after="0" w:line="172" w:lineRule="exact"/>
        <w:rPr>
          <w:rFonts w:ascii="Times New Roman" w:cs="Times New Roman" w:eastAsia="Times New Roman" w:hAnsi="Times New Roman"/>
          <w:sz w:val="21"/>
          <w:szCs w:val="21"/>
          <w:color w:val="auto"/>
        </w:rPr>
      </w:pPr>
    </w:p>
    <w:p>
      <w:pPr>
        <w:jc w:val="both"/>
        <w:ind w:right="100" w:firstLine="1879"/>
        <w:spacing w:after="0" w:line="259" w:lineRule="auto"/>
        <w:tabs>
          <w:tab w:leader="none" w:pos="242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Stock underlying the RSUs shall be issued and delivered to the Grantee in accordance with paragraph (a) and upon compliance to the satisfaction of the Committee with all requirements under applicable laws or regulations in connection with such issuance and with the requirements hereof and of the Plan. The determination of the Committee as to such compliance shall be final and binding on the Grantee. The shares of Stock delivered to the Grantee pursuant to this Section 4 shall be free and clear of all liens, fully paid and non- assessable. In no event shall fractional shares of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140"/>
          </w:cols>
          <w:pgMar w:left="420" w:top="6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00" w:firstLine="1879"/>
        <w:spacing w:after="0" w:line="264" w:lineRule="auto"/>
        <w:tabs>
          <w:tab w:leader="none" w:pos="242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as shares of Stock have been issued to the Grantee pursuant to paragraph (b) above, and except as set forth in Section 5 below regarding dividend equivalents, the Grantee shall not have any rights as a holder of the shares of Stock underlying this Grant including but not limited to voting rights.</w:t>
      </w:r>
    </w:p>
    <w:p>
      <w:pPr>
        <w:spacing w:after="0" w:line="160" w:lineRule="exact"/>
        <w:rPr>
          <w:rFonts w:ascii="Times New Roman" w:cs="Times New Roman" w:eastAsia="Times New Roman" w:hAnsi="Times New Roman"/>
          <w:sz w:val="21"/>
          <w:szCs w:val="21"/>
          <w:color w:val="auto"/>
        </w:rPr>
      </w:pPr>
    </w:p>
    <w:p>
      <w:pPr>
        <w:jc w:val="both"/>
        <w:ind w:right="100" w:firstLine="1879"/>
        <w:spacing w:after="0" w:line="259" w:lineRule="auto"/>
        <w:tabs>
          <w:tab w:leader="none" w:pos="242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may be required to pay to the Company or any Affiliate, and the Company or any Affiliate shall have the right and is hereby authorized to withhold from any shares of Stock or other property deliverable under the RSU or from any compensation or other amounts owing to the Grantee the amount (in cash, Stock or other property) of any required tax withholding and payroll taxes in respect of an RSU vesting or settlement and to take such other action as may be necessary in the opinion of the Company to satisfy all obligations for the payment of such taxes.</w:t>
      </w:r>
    </w:p>
    <w:p>
      <w:pPr>
        <w:spacing w:after="0" w:line="165" w:lineRule="exact"/>
        <w:rPr>
          <w:rFonts w:ascii="Times New Roman" w:cs="Times New Roman" w:eastAsia="Times New Roman" w:hAnsi="Times New Roman"/>
          <w:sz w:val="21"/>
          <w:szCs w:val="21"/>
          <w:color w:val="auto"/>
        </w:rPr>
      </w:pPr>
    </w:p>
    <w:p>
      <w:pPr>
        <w:jc w:val="both"/>
        <w:ind w:right="120" w:firstLine="1879"/>
        <w:spacing w:after="0" w:line="263" w:lineRule="auto"/>
        <w:tabs>
          <w:tab w:leader="none" w:pos="242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clause (d) above, in the Committee’s sole discretion the Grantee may satisfy, in whole or in part, the foregoing withholding liability by having the Company withhold from the number of shares of Stock otherwise issuable pursuant to the settlement of the RSU a number of shares with a Fair Market Value equal to such withholding liability.</w:t>
      </w:r>
    </w:p>
    <w:p>
      <w:pPr>
        <w:spacing w:after="0" w:line="157" w:lineRule="exact"/>
        <w:rPr>
          <w:sz w:val="20"/>
          <w:szCs w:val="20"/>
          <w:color w:val="auto"/>
        </w:rPr>
      </w:pPr>
    </w:p>
    <w:p>
      <w:pPr>
        <w:jc w:val="both"/>
        <w:ind w:right="100" w:firstLine="1565"/>
        <w:spacing w:after="0" w:line="266" w:lineRule="auto"/>
        <w:tabs>
          <w:tab w:leader="none" w:pos="1796"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on any date the Company shall pay any cash dividend on shares of Stock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the number of RSUs credited to the Grantee shall, as of such date, be increased by an amount determined by the following formula:</w:t>
      </w:r>
    </w:p>
    <w:p>
      <w:pPr>
        <w:spacing w:after="0" w:line="15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W = (X multiplied by Y) divided by Z, where:</w:t>
      </w:r>
    </w:p>
    <w:p>
      <w:pPr>
        <w:spacing w:after="0" w:line="2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W = the number of additional RSUs to be credited to the Grantee on such dividend payment date;</w:t>
      </w:r>
    </w:p>
    <w:p>
      <w:pPr>
        <w:spacing w:after="0" w:line="217" w:lineRule="exact"/>
        <w:rPr>
          <w:sz w:val="20"/>
          <w:szCs w:val="20"/>
          <w:color w:val="auto"/>
        </w:rPr>
      </w:pPr>
    </w:p>
    <w:p>
      <w:pPr>
        <w:ind w:left="1880" w:right="100"/>
        <w:spacing w:after="0" w:line="280" w:lineRule="auto"/>
        <w:rPr>
          <w:sz w:val="20"/>
          <w:szCs w:val="20"/>
          <w:color w:val="auto"/>
        </w:rPr>
      </w:pPr>
      <w:r>
        <w:rPr>
          <w:rFonts w:ascii="Times New Roman" w:cs="Times New Roman" w:eastAsia="Times New Roman" w:hAnsi="Times New Roman"/>
          <w:sz w:val="21"/>
          <w:szCs w:val="21"/>
          <w:color w:val="auto"/>
        </w:rPr>
        <w:t>X = the aggregate number of RSUs (whether vested or unvested) credited to the Grantee as of the record date of the dividend;</w:t>
      </w:r>
    </w:p>
    <w:p>
      <w:pPr>
        <w:spacing w:after="0" w:line="1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Y = the cash dividend per share amount; and</w:t>
      </w:r>
    </w:p>
    <w:p>
      <w:pPr>
        <w:spacing w:after="0" w:line="2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Z = the Fair Market Value per share of Stock (as determined under the Plan) on the dividend payment date.</w:t>
      </w:r>
    </w:p>
    <w:p>
      <w:pPr>
        <w:spacing w:after="0" w:line="227" w:lineRule="exact"/>
        <w:rPr>
          <w:sz w:val="20"/>
          <w:szCs w:val="20"/>
          <w:color w:val="auto"/>
        </w:rPr>
      </w:pPr>
    </w:p>
    <w:p>
      <w:pPr>
        <w:ind w:left="1880" w:hanging="314"/>
        <w:spacing w:after="0"/>
        <w:tabs>
          <w:tab w:leader="none" w:pos="1880" w:val="left"/>
        </w:tabs>
        <w:numPr>
          <w:ilvl w:val="0"/>
          <w:numId w:val="1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of Service</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b w:val="1"/>
          <w:bCs w:val="1"/>
          <w:color w:val="auto"/>
        </w:rPr>
      </w:pPr>
    </w:p>
    <w:p>
      <w:pPr>
        <w:ind w:right="120" w:firstLine="1879"/>
        <w:spacing w:after="0" w:line="280" w:lineRule="auto"/>
        <w:tabs>
          <w:tab w:leader="none" w:pos="2422"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below, if the Grantee’s Service terminates for any reason prior to the Settlement Date, then all vested RSUs shall be settled in accordance with Section 4, and any unvested RSUs shall be forfeited.</w:t>
      </w:r>
    </w:p>
    <w:p>
      <w:pPr>
        <w:spacing w:after="0" w:line="144" w:lineRule="exact"/>
        <w:rPr>
          <w:rFonts w:ascii="Times New Roman" w:cs="Times New Roman" w:eastAsia="Times New Roman" w:hAnsi="Times New Roman"/>
          <w:sz w:val="21"/>
          <w:szCs w:val="21"/>
          <w:color w:val="auto"/>
        </w:rPr>
      </w:pPr>
    </w:p>
    <w:p>
      <w:pPr>
        <w:jc w:val="both"/>
        <w:ind w:right="100" w:firstLine="1879"/>
        <w:spacing w:after="0" w:line="263" w:lineRule="auto"/>
        <w:tabs>
          <w:tab w:leader="none" w:pos="242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Retirement at any time after 6 (six) months from the Grant Date but before the Settlement Date, then provided that the Grantee continuously remains in Retirement status after termination of Service, the Grantee shall continue to vest in all of the Grantee’s RSUs according to the schedule established in Section 3 as though the Grantee’s Service had not terminated (and, for the sake of clarity, as though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40"/>
          </w:cols>
          <w:pgMar w:left="420" w:top="6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Grantee met all Credited Service requirements), and such RSUs shall be settled at the time specified in Section 4 hereof.</w:t>
      </w:r>
    </w:p>
    <w:p>
      <w:pPr>
        <w:spacing w:after="0" w:line="217" w:lineRule="exact"/>
        <w:rPr>
          <w:sz w:val="20"/>
          <w:szCs w:val="20"/>
          <w:color w:val="auto"/>
        </w:rPr>
      </w:pPr>
    </w:p>
    <w:p>
      <w:pPr>
        <w:jc w:val="both"/>
        <w:ind w:right="100" w:firstLine="1879"/>
        <w:spacing w:after="0" w:line="270" w:lineRule="auto"/>
        <w:tabs>
          <w:tab w:leader="none" w:pos="2422"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due to a Change in Control Termination after the Grant Date but before the Settlement Date, then on the date of the Grantee’s termination (or, if later, on the effective date of the Change in Control), 100% of the RSUs shall become immediately vested and settled according to Section 4 hereof.</w:t>
      </w:r>
    </w:p>
    <w:p>
      <w:pPr>
        <w:spacing w:after="0" w:line="155" w:lineRule="exact"/>
        <w:rPr>
          <w:rFonts w:ascii="Times New Roman" w:cs="Times New Roman" w:eastAsia="Times New Roman" w:hAnsi="Times New Roman"/>
          <w:sz w:val="21"/>
          <w:szCs w:val="21"/>
          <w:color w:val="auto"/>
        </w:rPr>
      </w:pPr>
    </w:p>
    <w:p>
      <w:pPr>
        <w:jc w:val="both"/>
        <w:ind w:right="100" w:firstLine="1879"/>
        <w:spacing w:after="0" w:line="256" w:lineRule="auto"/>
        <w:tabs>
          <w:tab w:leader="none" w:pos="2420"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Grantee’s death or if the Committee determines, in its sole discretion, that the Grantee has become Disabled, in each case, after the Grant Date and prior to third anniversary of the Grant Date), 100% of the RSUs shall become immediately vested and, regardless of the Grantee’s deferral election, the Company as soon as reasonably practicable shall issue shares of Stock to the Grantee (or the Grantee’s designated beneficiary or estate executor in the event of the Grantee’s death) with respect to the RSUs that have vested hereunder but for which shares of Stock had not yet been issued to the Grantee.</w:t>
      </w:r>
    </w:p>
    <w:p>
      <w:pPr>
        <w:spacing w:after="0" w:line="172" w:lineRule="exact"/>
        <w:rPr>
          <w:rFonts w:ascii="Times New Roman" w:cs="Times New Roman" w:eastAsia="Times New Roman" w:hAnsi="Times New Roman"/>
          <w:sz w:val="21"/>
          <w:szCs w:val="21"/>
          <w:color w:val="auto"/>
        </w:rPr>
      </w:pPr>
    </w:p>
    <w:p>
      <w:pPr>
        <w:jc w:val="both"/>
        <w:ind w:right="100" w:firstLine="1879"/>
        <w:spacing w:after="0" w:line="256" w:lineRule="auto"/>
        <w:tabs>
          <w:tab w:leader="none" w:pos="2422" w:val="left"/>
        </w:tabs>
        <w:numPr>
          <w:ilvl w:val="1"/>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Grantee’s service terminates for Cause, then any outstanding RSUs, whether vested or unvested, shall be forfeited and cancelled as of the Grantee’s termination date. If the Grantee’s employment is terminated due to a reason specified in (b)-(d) above but, after such termination, the Committee determines that it would have had Cause to terminate the Grantee’s Service if all the relevant facts had been known to the Committee as of the date of the Grantee’s termination, then all outstanding RSUs shall immediately be forfeited and cancelled, whether or not vested, as of the date of the Committee’s determination.</w:t>
      </w:r>
    </w:p>
    <w:p>
      <w:pPr>
        <w:spacing w:after="0" w:line="168" w:lineRule="exact"/>
        <w:rPr>
          <w:rFonts w:ascii="Times New Roman" w:cs="Times New Roman" w:eastAsia="Times New Roman" w:hAnsi="Times New Roman"/>
          <w:sz w:val="21"/>
          <w:szCs w:val="21"/>
          <w:color w:val="auto"/>
        </w:rPr>
      </w:pPr>
    </w:p>
    <w:p>
      <w:pPr>
        <w:ind w:left="1880" w:hanging="314"/>
        <w:spacing w:after="0"/>
        <w:tabs>
          <w:tab w:leader="none" w:pos="1880" w:val="left"/>
        </w:tabs>
        <w:numPr>
          <w:ilvl w:val="0"/>
          <w:numId w:val="1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Grantee</w:t>
      </w:r>
      <w:r>
        <w:rPr>
          <w:rFonts w:ascii="Times New Roman" w:cs="Times New Roman" w:eastAsia="Times New Roman" w:hAnsi="Times New Roman"/>
          <w:sz w:val="21"/>
          <w:szCs w:val="21"/>
          <w:color w:val="auto"/>
        </w:rPr>
        <w:t>.</w:t>
      </w:r>
    </w:p>
    <w:p>
      <w:pPr>
        <w:spacing w:after="0" w:line="234" w:lineRule="exact"/>
        <w:rPr>
          <w:rFonts w:ascii="Times New Roman" w:cs="Times New Roman" w:eastAsia="Times New Roman" w:hAnsi="Times New Roman"/>
          <w:sz w:val="21"/>
          <w:szCs w:val="21"/>
          <w:b w:val="1"/>
          <w:bCs w:val="1"/>
          <w:color w:val="auto"/>
        </w:rPr>
      </w:pPr>
    </w:p>
    <w:p>
      <w:pPr>
        <w:ind w:right="100" w:firstLine="1879"/>
        <w:spacing w:after="0" w:line="280" w:lineRule="auto"/>
        <w:tabs>
          <w:tab w:leader="none" w:pos="2422"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used in this Agreement with reference to employment shall include the Company, its Subsidiaries and its Affiliates, as appropriate.</w:t>
      </w:r>
    </w:p>
    <w:p>
      <w:pPr>
        <w:spacing w:after="0" w:line="144" w:lineRule="exact"/>
        <w:rPr>
          <w:rFonts w:ascii="Times New Roman" w:cs="Times New Roman" w:eastAsia="Times New Roman" w:hAnsi="Times New Roman"/>
          <w:sz w:val="21"/>
          <w:szCs w:val="21"/>
          <w:color w:val="auto"/>
        </w:rPr>
      </w:pPr>
    </w:p>
    <w:p>
      <w:pPr>
        <w:jc w:val="both"/>
        <w:ind w:right="100" w:firstLine="1879"/>
        <w:spacing w:after="0" w:line="258" w:lineRule="auto"/>
        <w:tabs>
          <w:tab w:leader="none" w:pos="242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is used in any provision of this Agreement under circumstances where the provision should logically be construed to apply to the beneficiaries, the executors, the administrators, or the person or persons to whom the RSUs may be transferred by will or by the laws of descent and distribution, the word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shall be deemed to include such person or persons.</w:t>
      </w:r>
    </w:p>
    <w:p>
      <w:pPr>
        <w:spacing w:after="0" w:line="177" w:lineRule="exact"/>
        <w:rPr>
          <w:rFonts w:ascii="Times New Roman" w:cs="Times New Roman" w:eastAsia="Times New Roman" w:hAnsi="Times New Roman"/>
          <w:sz w:val="21"/>
          <w:szCs w:val="21"/>
          <w:color w:val="auto"/>
        </w:rPr>
      </w:pPr>
    </w:p>
    <w:p>
      <w:pPr>
        <w:jc w:val="both"/>
        <w:ind w:right="100" w:firstLine="1565"/>
        <w:spacing w:after="0" w:line="266" w:lineRule="auto"/>
        <w:tabs>
          <w:tab w:leader="none" w:pos="1796" w:val="left"/>
        </w:tabs>
        <w:numPr>
          <w:ilvl w:val="0"/>
          <w:numId w:val="1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Non-Transferability</w:t>
      </w:r>
      <w:r>
        <w:rPr>
          <w:rFonts w:ascii="Times New Roman" w:cs="Times New Roman" w:eastAsia="Times New Roman" w:hAnsi="Times New Roman"/>
          <w:sz w:val="21"/>
          <w:szCs w:val="21"/>
          <w:color w:val="auto"/>
        </w:rPr>
        <w:t>. The RSUs granted herein are not transferable by the Grantee other than to a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beneficiary upon death, by will or the laws of descent and distribution, to a trust solely for the benefit of the Grantee or his/her immediate family or, in the case of the RSUs being held by such a trust, by the trustee.</w:t>
      </w:r>
    </w:p>
    <w:p>
      <w:pPr>
        <w:spacing w:after="0" w:line="154" w:lineRule="exact"/>
        <w:rPr>
          <w:rFonts w:ascii="Times New Roman" w:cs="Times New Roman" w:eastAsia="Times New Roman" w:hAnsi="Times New Roman"/>
          <w:sz w:val="21"/>
          <w:szCs w:val="21"/>
          <w:b w:val="1"/>
          <w:bCs w:val="1"/>
          <w:color w:val="auto"/>
        </w:rPr>
      </w:pPr>
    </w:p>
    <w:p>
      <w:pPr>
        <w:ind w:left="1880" w:hanging="314"/>
        <w:spacing w:after="0"/>
        <w:tabs>
          <w:tab w:leader="none" w:pos="1880" w:val="left"/>
        </w:tabs>
        <w:numPr>
          <w:ilvl w:val="0"/>
          <w:numId w:val="1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Forfeiture for Violation of Restrictive Covenants</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b w:val="1"/>
          <w:bCs w:val="1"/>
          <w:color w:val="auto"/>
        </w:rPr>
      </w:pPr>
    </w:p>
    <w:p>
      <w:pPr>
        <w:spacing w:after="0" w:line="270" w:lineRule="exact"/>
        <w:rPr>
          <w:rFonts w:ascii="Times New Roman" w:cs="Times New Roman" w:eastAsia="Times New Roman" w:hAnsi="Times New Roman"/>
          <w:sz w:val="21"/>
          <w:szCs w:val="21"/>
          <w:b w:val="1"/>
          <w:bCs w:val="1"/>
          <w:color w:val="auto"/>
        </w:rPr>
      </w:pPr>
    </w:p>
    <w:p>
      <w:pPr>
        <w:jc w:val="both"/>
        <w:ind w:right="100" w:firstLine="1879"/>
        <w:spacing w:after="0" w:line="258" w:lineRule="auto"/>
        <w:tabs>
          <w:tab w:leader="none" w:pos="2422"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and Proprietary Information</w:t>
      </w:r>
      <w:r>
        <w:rPr>
          <w:rFonts w:ascii="Times New Roman" w:cs="Times New Roman" w:eastAsia="Times New Roman" w:hAnsi="Times New Roman"/>
          <w:sz w:val="21"/>
          <w:szCs w:val="21"/>
          <w:color w:val="auto"/>
        </w:rPr>
        <w:t>. The Grantee agrees that the Grantee will not, at any time make use of or divulge to any other person, firm or corporation any confidential or proprietary information concerning the business or policies of the Company (which includes, for the avoidance of doubt, any and all of its divisions, Affiliates or Subsidiaries). For purposes of this Agreement, any confidential information shall constitute any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40"/>
          </w:cols>
          <w:pgMar w:left="420" w:top="6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1"/>
          <w:szCs w:val="21"/>
          <w:color w:val="auto"/>
        </w:rPr>
        <w:t>information designated as confidential or proprietary by the Company or otherwise known by the Grantee to be confidential or proprietary information including, without limitation, customer information. The Grantee acknowledges and agrees that for purposes of this Agreement, “customer information” includes without limitation, customer lists, all lists of professional personnel, names, addresses, phone numbers, contact persons, preferences, pricing arrangements, requirements and practices. The Grantee’s obligation under this Section 9(c) shall not apply to any information that (i) is known publicly; (ii) is in the public domain or hereafter enters the public domain without the fault of the Grantee; or (iii) is hereafter disclosed to the Grantee by a third party not under an obligation of confidence to the Company. The Grantee agrees not to remove from the premises of the Company, except as an employee of the Company in pursuit of the business of the Company or except as specifically permitted in writing by the Company, any document or other object containing or reflecting any such confidential or proprietary information. The Grantee recognizes that all such information, whether developed by the Grantee or by someone else, will be the sole exclusive property of the Company. Upon termination of employment, the Grantee shall forthwith deliver to the Company all such confidential or proprietary information, including without limitation all lists of customers, pricing methods, financial structures, correspondence, accounts, records and any other documents, computer disks, computer programs, software, laptops, modems or property made or held by the Grantee or under the Grantee’s control in relation to the business or affairs of the Company, and no copy of any such confidential or proprietary information shall be retained by the Grantee.</w:t>
      </w:r>
    </w:p>
    <w:p>
      <w:pPr>
        <w:spacing w:after="0" w:line="183" w:lineRule="exact"/>
        <w:rPr>
          <w:sz w:val="20"/>
          <w:szCs w:val="20"/>
          <w:color w:val="auto"/>
        </w:rPr>
      </w:pPr>
    </w:p>
    <w:p>
      <w:pPr>
        <w:jc w:val="both"/>
        <w:ind w:right="100" w:firstLine="1879"/>
        <w:spacing w:after="0" w:line="254" w:lineRule="auto"/>
        <w:tabs>
          <w:tab w:leader="none" w:pos="2420"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for Violations</w:t>
      </w:r>
      <w:r>
        <w:rPr>
          <w:rFonts w:ascii="Times New Roman" w:cs="Times New Roman" w:eastAsia="Times New Roman" w:hAnsi="Times New Roman"/>
          <w:sz w:val="21"/>
          <w:szCs w:val="21"/>
          <w:color w:val="auto"/>
        </w:rPr>
        <w:t xml:space="preserve">. If the Grantee shall at any time violate the provisions of Section 9(a), (b), or (c), the Grantee shall immediately forfeit his/her RSUs (whether </w:t>
      </w:r>
      <w:r>
        <w:rPr>
          <w:rFonts w:ascii="Times New Roman" w:cs="Times New Roman" w:eastAsia="Times New Roman" w:hAnsi="Times New Roman"/>
          <w:sz w:val="19"/>
          <w:szCs w:val="19"/>
          <w:color w:val="auto"/>
        </w:rPr>
        <w:t>vested or unvested) and any issuance of shares of Stock that occurs after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(or within six (6) months before) any such violation shall be void </w:t>
      </w:r>
      <w:r>
        <w:rPr>
          <w:rFonts w:ascii="Times New Roman" w:cs="Times New Roman" w:eastAsia="Times New Roman" w:hAnsi="Times New Roman"/>
          <w:sz w:val="19"/>
          <w:szCs w:val="19"/>
          <w:i w:val="1"/>
          <w:iCs w:val="1"/>
          <w:color w:val="auto"/>
        </w:rPr>
        <w:t>ab initio</w:t>
      </w:r>
      <w:r>
        <w:rPr>
          <w:rFonts w:ascii="Times New Roman" w:cs="Times New Roman" w:eastAsia="Times New Roman" w:hAnsi="Times New Roman"/>
          <w:sz w:val="19"/>
          <w:szCs w:val="19"/>
          <w:color w:val="auto"/>
        </w:rPr>
        <w:t>.</w:t>
      </w:r>
    </w:p>
    <w:p>
      <w:pPr>
        <w:spacing w:after="0" w:line="190" w:lineRule="exact"/>
        <w:rPr>
          <w:rFonts w:ascii="Times New Roman" w:cs="Times New Roman" w:eastAsia="Times New Roman" w:hAnsi="Times New Roman"/>
          <w:sz w:val="21"/>
          <w:szCs w:val="21"/>
          <w:color w:val="auto"/>
        </w:rPr>
      </w:pPr>
    </w:p>
    <w:p>
      <w:pPr>
        <w:jc w:val="both"/>
        <w:ind w:right="100" w:firstLine="1879"/>
        <w:spacing w:after="0" w:line="264" w:lineRule="auto"/>
        <w:tabs>
          <w:tab w:leader="none" w:pos="2422"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Agreement</w:t>
      </w:r>
      <w:r>
        <w:rPr>
          <w:rFonts w:ascii="Times New Roman" w:cs="Times New Roman" w:eastAsia="Times New Roman" w:hAnsi="Times New Roman"/>
          <w:sz w:val="21"/>
          <w:szCs w:val="21"/>
          <w:color w:val="auto"/>
        </w:rPr>
        <w:t>. For the avoidance of doubt, this Section 9 shall be in addition to and shall not supersede (or be superseded by) any other agreements related to the subject matter of this Section 9 contained in any confidentiality agreement, noncompetition agreement or any other agreement between the Grantee and the Company.</w:t>
      </w:r>
    </w:p>
    <w:p>
      <w:pPr>
        <w:spacing w:after="0" w:line="160" w:lineRule="exact"/>
        <w:rPr>
          <w:rFonts w:ascii="Times New Roman" w:cs="Times New Roman" w:eastAsia="Times New Roman" w:hAnsi="Times New Roman"/>
          <w:sz w:val="21"/>
          <w:szCs w:val="21"/>
          <w:color w:val="auto"/>
        </w:rPr>
      </w:pPr>
    </w:p>
    <w:p>
      <w:pPr>
        <w:jc w:val="both"/>
        <w:ind w:right="100" w:firstLine="1879"/>
        <w:spacing w:after="0" w:line="256" w:lineRule="auto"/>
        <w:tabs>
          <w:tab w:leader="none" w:pos="2420"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Nothing contained in this Agreement shall prevent Employee from exercising Employee’s rights under applicable law to discuss wages, hours, working conditions, unionization, or the like, including any concerted activities for the purpose of collective bargaining or other mutual aid or protection. Additionally, nothing contained in this Agreement prohibits or prevents Employee from filing a charge with or participating, testifying, or assisting in any investigation, hearing, whistleblowing proceeding or other proceeding before any federal, state, or local government agency (e.g., EEOC, NLRB, SEC, etc.).</w:t>
      </w:r>
    </w:p>
    <w:p>
      <w:pPr>
        <w:spacing w:after="0" w:line="168" w:lineRule="exact"/>
        <w:rPr>
          <w:rFonts w:ascii="Times New Roman" w:cs="Times New Roman" w:eastAsia="Times New Roman" w:hAnsi="Times New Roman"/>
          <w:sz w:val="21"/>
          <w:szCs w:val="21"/>
          <w:color w:val="auto"/>
        </w:rPr>
      </w:pPr>
    </w:p>
    <w:p>
      <w:pPr>
        <w:jc w:val="both"/>
        <w:ind w:right="100" w:firstLine="1565"/>
        <w:spacing w:after="0" w:line="264" w:lineRule="auto"/>
        <w:tabs>
          <w:tab w:leader="none" w:pos="2425" w:val="left"/>
        </w:tabs>
        <w:numPr>
          <w:ilvl w:val="0"/>
          <w:numId w:val="1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Stockholder</w:t>
      </w:r>
      <w:r>
        <w:rPr>
          <w:rFonts w:ascii="Times New Roman" w:cs="Times New Roman" w:eastAsia="Times New Roman" w:hAnsi="Times New Roman"/>
          <w:sz w:val="21"/>
          <w:szCs w:val="21"/>
          <w:color w:val="auto"/>
        </w:rPr>
        <w:t>. The Grantee or a transferee of the RSUs shall have no rights as a stockholder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respect to any share of Stock covered by the RSUs until the Grantee shall have become the holder of record of such share of Stock and no adjustment shall be made for dividends or distributions or other rights in respect of such share of Stock for which the record date is prior to the date upon which Grantee shall become the holder of record thereof.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140"/>
          </w:cols>
          <w:pgMar w:left="420" w:top="6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firstLine="1565"/>
        <w:spacing w:after="0" w:line="260" w:lineRule="auto"/>
        <w:tabs>
          <w:tab w:leader="none" w:pos="2413"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obligations of the Company under this Agreement shall be binding upon any successor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Grantee’s rights under this Agreement in any agreement or plan that it may enter into or adopt to effect any such merger, consolidation, reorganization or transfer of assets.</w:t>
      </w:r>
    </w:p>
    <w:p>
      <w:pPr>
        <w:spacing w:after="0" w:line="160" w:lineRule="exact"/>
        <w:rPr>
          <w:rFonts w:ascii="Times New Roman" w:cs="Times New Roman" w:eastAsia="Times New Roman" w:hAnsi="Times New Roman"/>
          <w:sz w:val="21"/>
          <w:szCs w:val="21"/>
          <w:b w:val="1"/>
          <w:bCs w:val="1"/>
          <w:color w:val="auto"/>
        </w:rPr>
      </w:pPr>
    </w:p>
    <w:p>
      <w:pPr>
        <w:jc w:val="both"/>
        <w:ind w:right="100" w:firstLine="1565"/>
        <w:spacing w:after="0" w:line="256" w:lineRule="auto"/>
        <w:tabs>
          <w:tab w:leader="none" w:pos="2425"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Every notice or other communication relating to this Agreement shall be in writing,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mailed to or delivered by hand, by mail or electronic transmission (with confirmation of transmission) to the party for whom it is intended at such address as may from time to time be designated by it in a notice mailed or delivered to the other party as herein provided, provided that, unless and until some other address be so designated, all notices or communications by the Grantee to the Company shall be mailed or delivered to the Company at its principal executive office, and all notices or communications by the Company to the Grantee may be given to the Grantee personally or may be mailed or e-mailed to the Grantee at the Grantee’s address or e-mail as recorded in the records of the Company.</w:t>
      </w:r>
    </w:p>
    <w:p>
      <w:pPr>
        <w:spacing w:after="0" w:line="177" w:lineRule="exact"/>
        <w:rPr>
          <w:rFonts w:ascii="Times New Roman" w:cs="Times New Roman" w:eastAsia="Times New Roman" w:hAnsi="Times New Roman"/>
          <w:sz w:val="21"/>
          <w:szCs w:val="21"/>
          <w:b w:val="1"/>
          <w:bCs w:val="1"/>
          <w:color w:val="auto"/>
        </w:rPr>
      </w:pPr>
    </w:p>
    <w:p>
      <w:pPr>
        <w:jc w:val="both"/>
        <w:ind w:right="100" w:firstLine="1565"/>
        <w:spacing w:after="0" w:line="260" w:lineRule="auto"/>
        <w:tabs>
          <w:tab w:leader="none" w:pos="2425"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Right to Continued Employment</w:t>
      </w:r>
      <w:r>
        <w:rPr>
          <w:rFonts w:ascii="Times New Roman" w:cs="Times New Roman" w:eastAsia="Times New Roman" w:hAnsi="Times New Roman"/>
          <w:sz w:val="21"/>
          <w:szCs w:val="21"/>
          <w:color w:val="auto"/>
        </w:rPr>
        <w:t>. This Agreement shall not be construed as giving the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 to be retained in the employ or service of the Company, a Subsidiary or an Affiliate. Further, the Company or an Affiliate may at any time dismiss the Grantee or discontinue any consulting relationship, free from any liability or any claim under this Agreement, except as otherwise expressly provided herein.</w:t>
      </w:r>
    </w:p>
    <w:p>
      <w:pPr>
        <w:spacing w:after="0" w:line="160" w:lineRule="exact"/>
        <w:rPr>
          <w:rFonts w:ascii="Times New Roman" w:cs="Times New Roman" w:eastAsia="Times New Roman" w:hAnsi="Times New Roman"/>
          <w:sz w:val="21"/>
          <w:szCs w:val="21"/>
          <w:b w:val="1"/>
          <w:bCs w:val="1"/>
          <w:color w:val="auto"/>
        </w:rPr>
      </w:pPr>
    </w:p>
    <w:p>
      <w:pPr>
        <w:ind w:right="100" w:firstLine="1565"/>
        <w:spacing w:after="0" w:line="297" w:lineRule="auto"/>
        <w:tabs>
          <w:tab w:leader="none" w:pos="2425"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Subject to Section 8 hereof, this Agreement shall be binding upon the heirs,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executors, administrators and successors of the parties hereto.</w:t>
      </w:r>
    </w:p>
    <w:p>
      <w:pPr>
        <w:spacing w:after="0" w:line="123" w:lineRule="exact"/>
        <w:rPr>
          <w:rFonts w:ascii="Times New Roman" w:cs="Times New Roman" w:eastAsia="Times New Roman" w:hAnsi="Times New Roman"/>
          <w:sz w:val="21"/>
          <w:szCs w:val="21"/>
          <w:b w:val="1"/>
          <w:bCs w:val="1"/>
          <w:color w:val="auto"/>
        </w:rPr>
      </w:pPr>
    </w:p>
    <w:p>
      <w:pPr>
        <w:jc w:val="both"/>
        <w:ind w:right="100" w:firstLine="1565"/>
        <w:spacing w:after="0" w:line="260" w:lineRule="auto"/>
        <w:tabs>
          <w:tab w:leader="none" w:pos="2425"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of Agreement</w:t>
      </w:r>
      <w:r>
        <w:rPr>
          <w:rFonts w:ascii="Times New Roman" w:cs="Times New Roman" w:eastAsia="Times New Roman" w:hAnsi="Times New Roman"/>
          <w:sz w:val="21"/>
          <w:szCs w:val="21"/>
          <w:color w:val="auto"/>
        </w:rPr>
        <w:t>. The Committee may, to the extent consistent with the terms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waive any conditions or rights under, amend any terms of, or alter, suspend, discontinue, cancel or terminate, any portion of the RSUs heretofore granted, prospectively or retroactively;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waiver, amendment, alteration, suspension, discontinuance, cancellation or termination that would adversely impair the rights of the Grantee in respect of any RSUs already granted shall not to that extent be effective without the consent of the Grantee.</w:t>
      </w:r>
    </w:p>
    <w:p>
      <w:pPr>
        <w:spacing w:after="0" w:line="160" w:lineRule="exact"/>
        <w:rPr>
          <w:rFonts w:ascii="Times New Roman" w:cs="Times New Roman" w:eastAsia="Times New Roman" w:hAnsi="Times New Roman"/>
          <w:sz w:val="21"/>
          <w:szCs w:val="21"/>
          <w:b w:val="1"/>
          <w:bCs w:val="1"/>
          <w:color w:val="auto"/>
        </w:rPr>
      </w:pPr>
    </w:p>
    <w:p>
      <w:pPr>
        <w:jc w:val="both"/>
        <w:ind w:right="100" w:firstLine="1565"/>
        <w:spacing w:after="0" w:line="257" w:lineRule="auto"/>
        <w:tabs>
          <w:tab w:leader="none" w:pos="2425"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RSUs Subject to Plan and NQDC Plan</w:t>
      </w:r>
      <w:r>
        <w:rPr>
          <w:rFonts w:ascii="Times New Roman" w:cs="Times New Roman" w:eastAsia="Times New Roman" w:hAnsi="Times New Roman"/>
          <w:sz w:val="21"/>
          <w:szCs w:val="21"/>
          <w:color w:val="auto"/>
        </w:rPr>
        <w:t>. By entering into this Agreement, the Grantee agrees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that the Grantee has received and read a copy of the Plan and a copy of the NQDC Plan. The RSUs are subject to the terms of Plan, and the NQDC Plan if the RSUs are deferred under the NQDC Plan. The terms and provisions of the plans as they may be amended from time to time are hereby incorporated herein by reference. In the event of a conflict between any term or provision contained herein and a term or provision of either the Plan or the NQDC Plan, the applicable terms and provisions of the applicable plan will govern and prevail.</w:t>
      </w:r>
    </w:p>
    <w:p>
      <w:pPr>
        <w:spacing w:after="0" w:line="166" w:lineRule="exact"/>
        <w:rPr>
          <w:rFonts w:ascii="Times New Roman" w:cs="Times New Roman" w:eastAsia="Times New Roman" w:hAnsi="Times New Roman"/>
          <w:sz w:val="21"/>
          <w:szCs w:val="21"/>
          <w:b w:val="1"/>
          <w:bCs w:val="1"/>
          <w:color w:val="auto"/>
        </w:rPr>
      </w:pPr>
    </w:p>
    <w:p>
      <w:pPr>
        <w:ind w:right="100" w:firstLine="1565"/>
        <w:spacing w:after="0" w:line="284" w:lineRule="auto"/>
        <w:tabs>
          <w:tab w:leader="none" w:pos="2425" w:val="left"/>
        </w:tabs>
        <w:numPr>
          <w:ilvl w:val="0"/>
          <w:numId w:val="1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construed and interpreted in accordance with the internal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Delaware without regard to the principles of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40"/>
          </w:cols>
          <w:pgMar w:left="420" w:top="67"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9"/>
          <w:szCs w:val="19"/>
          <w:b w:val="1"/>
          <w:bCs w:val="1"/>
          <w:color w:val="auto"/>
        </w:rPr>
        <w:t>Exhibit 10.56</w:t>
      </w:r>
    </w:p>
    <w:p>
      <w:pPr>
        <w:jc w:val="right"/>
        <w:spacing w:after="0"/>
        <w:rPr>
          <w:sz w:val="20"/>
          <w:szCs w:val="20"/>
          <w:color w:val="auto"/>
        </w:rPr>
      </w:pPr>
      <w:r>
        <w:rPr>
          <w:rFonts w:ascii="Times New Roman" w:cs="Times New Roman" w:eastAsia="Times New Roman" w:hAnsi="Times New Roman"/>
          <w:sz w:val="17"/>
          <w:szCs w:val="17"/>
          <w:i w:val="1"/>
          <w:iCs w:val="1"/>
          <w:color w:val="auto"/>
        </w:rPr>
        <w:t>Non-Executive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right="100"/>
        <w:spacing w:after="0" w:line="280" w:lineRule="auto"/>
        <w:rPr>
          <w:sz w:val="20"/>
          <w:szCs w:val="20"/>
          <w:color w:val="auto"/>
        </w:rPr>
      </w:pPr>
      <w:r>
        <w:rPr>
          <w:rFonts w:ascii="Times New Roman" w:cs="Times New Roman" w:eastAsia="Times New Roman" w:hAnsi="Times New Roman"/>
          <w:sz w:val="21"/>
          <w:szCs w:val="21"/>
          <w:color w:val="auto"/>
        </w:rPr>
        <w:t>conflicts of law thereof, or principles of conflicts of laws of any other jurisdiction that could cause the application of the laws of any jurisdiction other than the State of Delaware.</w:t>
      </w:r>
    </w:p>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w:t>
      </w:r>
    </w:p>
    <w:p>
      <w:pPr>
        <w:spacing w:after="0" w:line="208" w:lineRule="auto"/>
        <w:rPr>
          <w:sz w:val="20"/>
          <w:szCs w:val="20"/>
          <w:color w:val="auto"/>
        </w:rPr>
      </w:pPr>
      <w:r>
        <w:rPr>
          <w:rFonts w:ascii="Times New Roman" w:cs="Times New Roman" w:eastAsia="Times New Roman" w:hAnsi="Times New Roman"/>
          <w:sz w:val="21"/>
          <w:szCs w:val="21"/>
          <w:color w:val="auto"/>
        </w:rPr>
        <w:t>Cary Grace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President &amp;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GRANTEE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-7620</wp:posOffset>
            </wp:positionV>
            <wp:extent cx="1333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67"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17365D"/>
        </w:rPr>
        <w:t>Securities Trading</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17365D"/>
        </w:rPr>
        <w:t>Policy and Procedure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Overview</w:t>
      </w:r>
    </w:p>
    <w:p>
      <w:pPr>
        <w:spacing w:after="0" w:line="83"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0"/>
          <w:szCs w:val="20"/>
          <w:color w:val="auto"/>
        </w:rPr>
        <w:t>This policy provides the standards of AMN Healthcare Services,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AMN</w:t>
      </w:r>
      <w:r>
        <w:rPr>
          <w:rFonts w:ascii="Times New Roman" w:cs="Times New Roman" w:eastAsia="Times New Roman" w:hAnsi="Times New Roman"/>
          <w:sz w:val="20"/>
          <w:szCs w:val="20"/>
          <w:color w:val="auto"/>
        </w:rPr>
        <w:t xml:space="preserve">”) on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xml:space="preserve"> (as defined in Part I.F below) and causing the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xml:space="preserve"> of the Company’s securities. In accordance with applicable law, all employees, officers and directors of the Company and its subsidiaries and affiliates as well as such individuals’ respective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 xml:space="preserve"> (as defined in Part I.F below) are prohibited from </w:t>
      </w:r>
      <w:r>
        <w:rPr>
          <w:rFonts w:ascii="Times New Roman" w:cs="Times New Roman" w:eastAsia="Times New Roman" w:hAnsi="Times New Roman"/>
          <w:sz w:val="20"/>
          <w:szCs w:val="20"/>
          <w:b w:val="1"/>
          <w:bCs w:val="1"/>
          <w:i w:val="1"/>
          <w:iCs w:val="1"/>
          <w:color w:val="auto"/>
        </w:rPr>
        <w:t>trading</w:t>
      </w:r>
      <w:r>
        <w:rPr>
          <w:rFonts w:ascii="Times New Roman" w:cs="Times New Roman" w:eastAsia="Times New Roman" w:hAnsi="Times New Roman"/>
          <w:sz w:val="20"/>
          <w:szCs w:val="20"/>
          <w:color w:val="auto"/>
        </w:rPr>
        <w:t xml:space="preserve"> in the Company’s securities while in possession of </w:t>
      </w:r>
      <w:r>
        <w:rPr>
          <w:rFonts w:ascii="Times New Roman" w:cs="Times New Roman" w:eastAsia="Times New Roman" w:hAnsi="Times New Roman"/>
          <w:sz w:val="20"/>
          <w:szCs w:val="20"/>
          <w:b w:val="1"/>
          <w:bCs w:val="1"/>
          <w:i w:val="1"/>
          <w:iCs w:val="1"/>
          <w:color w:val="auto"/>
        </w:rPr>
        <w:t>Material Non-Public Information</w:t>
      </w:r>
      <w:r>
        <w:rPr>
          <w:rFonts w:ascii="Times New Roman" w:cs="Times New Roman" w:eastAsia="Times New Roman" w:hAnsi="Times New Roman"/>
          <w:sz w:val="20"/>
          <w:szCs w:val="20"/>
          <w:color w:val="auto"/>
        </w:rPr>
        <w:t xml:space="preserve"> (as defined in Part I.F below). Because of their job function or leadership role, certain team members have additional restrictions as described in Part II of this policy. Given the severity of the potential penalties and the impact of illegal conduct on the Company’s reputation, compliance with this policy is mandatory. Even the appearance of an improper transaction must be avoided to preserve our reputation for adhering to the highest standards of conduct. Any person who has any questions about this policy or about specific transactions may contact our Chief Legal Officer. Remember, however, that the ultimate responsibility for adhering to the policy and avoiding improper transactions rests with you.</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5"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31"/>
          <w:szCs w:val="31"/>
          <w:b w:val="1"/>
          <w:bCs w:val="1"/>
          <w:color w:val="548DD4"/>
        </w:rPr>
        <w:t>Policy</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Introduction</w:t>
      </w:r>
    </w:p>
    <w:p>
      <w:pPr>
        <w:spacing w:after="0" w:line="123"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Generally, it is illegal for a person to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on a public company’s securities while in possession of </w:t>
      </w:r>
      <w:r>
        <w:rPr>
          <w:rFonts w:ascii="Times New Roman" w:cs="Times New Roman" w:eastAsia="Times New Roman" w:hAnsi="Times New Roman"/>
          <w:sz w:val="21"/>
          <w:szCs w:val="21"/>
          <w:b w:val="1"/>
          <w:bCs w:val="1"/>
          <w:i w:val="1"/>
          <w:iCs w:val="1"/>
          <w:color w:val="auto"/>
        </w:rPr>
        <w:t>Material Non-Public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Information </w:t>
      </w:r>
      <w:r>
        <w:rPr>
          <w:rFonts w:ascii="Times New Roman" w:cs="Times New Roman" w:eastAsia="Times New Roman" w:hAnsi="Times New Roman"/>
          <w:sz w:val="21"/>
          <w:szCs w:val="21"/>
          <w:color w:val="auto"/>
        </w:rPr>
        <w:t>related to that company. Penalties for</w:t>
      </w:r>
      <w:r>
        <w:rPr>
          <w:rFonts w:ascii="Times New Roman" w:cs="Times New Roman" w:eastAsia="Times New Roman" w:hAnsi="Times New Roman"/>
          <w:sz w:val="21"/>
          <w:szCs w:val="21"/>
          <w:b w:val="1"/>
          <w:bCs w:val="1"/>
          <w:i w:val="1"/>
          <w:iCs w:val="1"/>
          <w:color w:val="auto"/>
        </w:rPr>
        <w:t xml:space="preserve"> trading </w:t>
      </w:r>
      <w:r>
        <w:rPr>
          <w:rFonts w:ascii="Times New Roman" w:cs="Times New Roman" w:eastAsia="Times New Roman" w:hAnsi="Times New Roman"/>
          <w:sz w:val="21"/>
          <w:szCs w:val="21"/>
          <w:color w:val="auto"/>
        </w:rPr>
        <w:t>on, or, in certain circumstances, communicating</w:t>
      </w:r>
      <w:r>
        <w:rPr>
          <w:rFonts w:ascii="Times New Roman" w:cs="Times New Roman" w:eastAsia="Times New Roman" w:hAnsi="Times New Roman"/>
          <w:sz w:val="21"/>
          <w:szCs w:val="21"/>
          <w:b w:val="1"/>
          <w:bCs w:val="1"/>
          <w:i w:val="1"/>
          <w:iCs w:val="1"/>
          <w:color w:val="auto"/>
        </w:rPr>
        <w:t xml:space="preserve"> Material Non-Public Information </w:t>
      </w:r>
      <w:r>
        <w:rPr>
          <w:rFonts w:ascii="Times New Roman" w:cs="Times New Roman" w:eastAsia="Times New Roman" w:hAnsi="Times New Roman"/>
          <w:sz w:val="21"/>
          <w:szCs w:val="21"/>
          <w:color w:val="auto"/>
        </w:rPr>
        <w:t>can be severe, both for the individuals involved in the unlawful conduct and their employers. Penalties may include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substantial jail terms, criminal fines and civil penalties. Penalties may apply whether or not you derive any profit or other benefit from the subject trade or conduct.</w:t>
      </w:r>
    </w:p>
    <w:p>
      <w:pPr>
        <w:spacing w:after="0" w:line="185"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 xml:space="preserve">Accordingly, AMN has adopted this policy to help ensure compliance with applicable insider trading laws. Two parts comprise the policy: Part I applies to all team members, officers and directors of the Company and its subsidiaries and affiliates, and Part II applies to all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 General Prohibitions and Expected Conduct</w:t>
      </w:r>
    </w:p>
    <w:p>
      <w:pPr>
        <w:spacing w:after="0" w:line="235" w:lineRule="exact"/>
        <w:rPr>
          <w:sz w:val="20"/>
          <w:szCs w:val="20"/>
          <w:color w:val="auto"/>
        </w:rPr>
      </w:pPr>
    </w:p>
    <w:p>
      <w:pPr>
        <w:jc w:val="both"/>
        <w:ind w:firstLine="634"/>
        <w:spacing w:after="0" w:line="259" w:lineRule="auto"/>
        <w:tabs>
          <w:tab w:leader="none" w:pos="12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Insider Trading of Company Securities</w:t>
      </w:r>
      <w:r>
        <w:rPr>
          <w:rFonts w:ascii="Times New Roman" w:cs="Times New Roman" w:eastAsia="Times New Roman" w:hAnsi="Times New Roman"/>
          <w:sz w:val="21"/>
          <w:szCs w:val="21"/>
          <w:color w:val="auto"/>
        </w:rPr>
        <w:t xml:space="preserve">. Except as otherwise expressly permitted by Part II.C below, if an AMN director, officer or other team member (including a former director, officer or team member) possesses </w:t>
      </w:r>
      <w:r>
        <w:rPr>
          <w:rFonts w:ascii="Times New Roman" w:cs="Times New Roman" w:eastAsia="Times New Roman" w:hAnsi="Times New Roman"/>
          <w:sz w:val="21"/>
          <w:szCs w:val="21"/>
          <w:b w:val="1"/>
          <w:bCs w:val="1"/>
          <w:i w:val="1"/>
          <w:iCs w:val="1"/>
          <w:color w:val="auto"/>
        </w:rPr>
        <w:t>Material Non-Public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Information </w:t>
      </w:r>
      <w:r>
        <w:rPr>
          <w:rFonts w:ascii="Times New Roman" w:cs="Times New Roman" w:eastAsia="Times New Roman" w:hAnsi="Times New Roman"/>
          <w:sz w:val="21"/>
          <w:szCs w:val="21"/>
          <w:color w:val="auto"/>
        </w:rPr>
        <w:t>relating to the Company, neither that person nor any</w:t>
      </w:r>
      <w:r>
        <w:rPr>
          <w:rFonts w:ascii="Times New Roman" w:cs="Times New Roman" w:eastAsia="Times New Roman" w:hAnsi="Times New Roman"/>
          <w:sz w:val="21"/>
          <w:szCs w:val="21"/>
          <w:b w:val="1"/>
          <w:bCs w:val="1"/>
          <w:i w:val="1"/>
          <w:iCs w:val="1"/>
          <w:color w:val="auto"/>
        </w:rPr>
        <w:t xml:space="preserve"> Related Person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1"/>
          <w:szCs w:val="21"/>
          <w:b w:val="1"/>
          <w:bCs w:val="1"/>
          <w:i w:val="1"/>
          <w:iCs w:val="1"/>
          <w:color w:val="auto"/>
        </w:rPr>
        <w:t xml:space="preserve"> trade </w:t>
      </w:r>
      <w:r>
        <w:rPr>
          <w:rFonts w:ascii="Times New Roman" w:cs="Times New Roman" w:eastAsia="Times New Roman" w:hAnsi="Times New Roman"/>
          <w:sz w:val="21"/>
          <w:szCs w:val="21"/>
          <w:color w:val="auto"/>
        </w:rPr>
        <w:t>in AMN securities or engage in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other action to take advantage of that information. Transactions that may be necessary or justifiable for independent reasons (such as the need to raise money for an emergency expenditure) are not exempt from this policy.</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i w:val="1"/>
          <w:iCs w:val="1"/>
          <w:color w:val="auto"/>
        </w:rPr>
        <w:t xml:space="preserve">Note: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restrictions set forth in this Policy do not apply to the exercise or settlement of employee equity grants, including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shares withheld by the Company for tax purposes. They do, however, apply to the market sale of securities received from these equity grants, including the sale of stock received from settlement of restricted stock units.</w:t>
      </w:r>
    </w:p>
    <w:p>
      <w:pPr>
        <w:spacing w:after="0" w:line="149" w:lineRule="exact"/>
        <w:rPr>
          <w:sz w:val="20"/>
          <w:szCs w:val="20"/>
          <w:color w:val="auto"/>
        </w:rPr>
      </w:pPr>
    </w:p>
    <w:p>
      <w:pPr>
        <w:jc w:val="both"/>
        <w:ind w:firstLine="634"/>
        <w:spacing w:after="0" w:line="260" w:lineRule="auto"/>
        <w:tabs>
          <w:tab w:leader="none" w:pos="125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Tipping Information to Others</w:t>
      </w:r>
      <w:r>
        <w:rPr>
          <w:rFonts w:ascii="Times New Roman" w:cs="Times New Roman" w:eastAsia="Times New Roman" w:hAnsi="Times New Roman"/>
          <w:sz w:val="21"/>
          <w:szCs w:val="21"/>
          <w:color w:val="auto"/>
        </w:rPr>
        <w:t xml:space="preserve">. No AMN director, officer or other team member may pass </w:t>
      </w:r>
      <w:r>
        <w:rPr>
          <w:rFonts w:ascii="Times New Roman" w:cs="Times New Roman" w:eastAsia="Times New Roman" w:hAnsi="Times New Roman"/>
          <w:sz w:val="21"/>
          <w:szCs w:val="21"/>
          <w:b w:val="1"/>
          <w:bCs w:val="1"/>
          <w:i w:val="1"/>
          <w:iCs w:val="1"/>
          <w:color w:val="auto"/>
        </w:rPr>
        <w:t>Material Non-Public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Information </w:t>
      </w:r>
      <w:r>
        <w:rPr>
          <w:rFonts w:ascii="Times New Roman" w:cs="Times New Roman" w:eastAsia="Times New Roman" w:hAnsi="Times New Roman"/>
          <w:sz w:val="21"/>
          <w:szCs w:val="21"/>
          <w:color w:val="auto"/>
        </w:rPr>
        <w:t>on to any person outside the Company (including any</w:t>
      </w:r>
      <w:r>
        <w:rPr>
          <w:rFonts w:ascii="Times New Roman" w:cs="Times New Roman" w:eastAsia="Times New Roman" w:hAnsi="Times New Roman"/>
          <w:sz w:val="21"/>
          <w:szCs w:val="21"/>
          <w:b w:val="1"/>
          <w:bCs w:val="1"/>
          <w:i w:val="1"/>
          <w:iCs w:val="1"/>
          <w:color w:val="auto"/>
        </w:rPr>
        <w:t xml:space="preserve"> Related Person</w:t>
      </w:r>
      <w:r>
        <w:rPr>
          <w:rFonts w:ascii="Times New Roman" w:cs="Times New Roman" w:eastAsia="Times New Roman" w:hAnsi="Times New Roman"/>
          <w:sz w:val="21"/>
          <w:szCs w:val="21"/>
          <w:color w:val="auto"/>
        </w:rPr>
        <w:t>) or suggest or otherwise recommend that 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such person buy or sell AMN securities or engage in any other action to take advantage of that information. This action is called “tipping” and you may be liable for communicating or “tipping”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to a third party.</w:t>
      </w:r>
    </w:p>
    <w:p>
      <w:pPr>
        <w:spacing w:after="0" w:line="177" w:lineRule="exact"/>
        <w:rPr>
          <w:rFonts w:ascii="Times New Roman" w:cs="Times New Roman" w:eastAsia="Times New Roman" w:hAnsi="Times New Roman"/>
          <w:sz w:val="21"/>
          <w:szCs w:val="21"/>
          <w:color w:val="auto"/>
        </w:rPr>
      </w:pPr>
    </w:p>
    <w:p>
      <w:pPr>
        <w:jc w:val="both"/>
        <w:ind w:firstLine="634"/>
        <w:spacing w:after="0" w:line="264" w:lineRule="auto"/>
        <w:tabs>
          <w:tab w:leader="none" w:pos="125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Trading of Other Companies’ Securities Based on Information Obtained Through AMN</w:t>
      </w:r>
      <w:r>
        <w:rPr>
          <w:rFonts w:ascii="Times New Roman" w:cs="Times New Roman" w:eastAsia="Times New Roman" w:hAnsi="Times New Roman"/>
          <w:sz w:val="21"/>
          <w:szCs w:val="21"/>
          <w:color w:val="auto"/>
        </w:rPr>
        <w:t xml:space="preserve">. No AMN director, officer or other team member may effect transactions in the securities of any other company while in possession of </w:t>
      </w:r>
      <w:r>
        <w:rPr>
          <w:rFonts w:ascii="Times New Roman" w:cs="Times New Roman" w:eastAsia="Times New Roman" w:hAnsi="Times New Roman"/>
          <w:sz w:val="21"/>
          <w:szCs w:val="21"/>
          <w:b w:val="1"/>
          <w:bCs w:val="1"/>
          <w:i w:val="1"/>
          <w:iCs w:val="1"/>
          <w:color w:val="auto"/>
        </w:rPr>
        <w:t>Material Non-Public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Information </w:t>
      </w:r>
      <w:r>
        <w:rPr>
          <w:rFonts w:ascii="Times New Roman" w:cs="Times New Roman" w:eastAsia="Times New Roman" w:hAnsi="Times New Roman"/>
          <w:sz w:val="21"/>
          <w:szCs w:val="21"/>
          <w:color w:val="auto"/>
        </w:rPr>
        <w:t>concerning such company that was obtained in the course of employment with AMN.</w:t>
      </w:r>
    </w:p>
    <w:p>
      <w:pPr>
        <w:spacing w:after="0" w:line="160" w:lineRule="exact"/>
        <w:rPr>
          <w:rFonts w:ascii="Times New Roman" w:cs="Times New Roman" w:eastAsia="Times New Roman" w:hAnsi="Times New Roman"/>
          <w:sz w:val="21"/>
          <w:szCs w:val="21"/>
          <w:color w:val="auto"/>
        </w:rPr>
      </w:pPr>
    </w:p>
    <w:p>
      <w:pPr>
        <w:jc w:val="both"/>
        <w:ind w:firstLine="634"/>
        <w:spacing w:after="0" w:line="270" w:lineRule="auto"/>
        <w:tabs>
          <w:tab w:leader="none" w:pos="106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Prohibited Transactions</w:t>
      </w:r>
      <w:r>
        <w:rPr>
          <w:rFonts w:ascii="Times New Roman" w:cs="Times New Roman" w:eastAsia="Times New Roman" w:hAnsi="Times New Roman"/>
          <w:sz w:val="21"/>
          <w:szCs w:val="21"/>
          <w:color w:val="auto"/>
        </w:rPr>
        <w:t>. Because AMN believes it is inappropriate for any of its team members to engage in short-term or speculative transactions involving the Company’s securities, AMN directors, officers and all other team members may not engage in any of the following activities with respect to AMN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7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359" w:lineRule="exact"/>
        <w:rPr>
          <w:sz w:val="20"/>
          <w:szCs w:val="20"/>
          <w:color w:val="auto"/>
        </w:rPr>
      </w:pPr>
    </w:p>
    <w:p>
      <w:pPr>
        <w:jc w:val="both"/>
        <w:ind w:left="1580" w:hanging="316"/>
        <w:spacing w:after="0" w:line="260" w:lineRule="auto"/>
        <w:tabs>
          <w:tab w:leader="none" w:pos="1575" w:val="left"/>
        </w:tabs>
        <w:numPr>
          <w:ilvl w:val="1"/>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“In and out” and “short swing”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in AMN securities, which means (i) any AMN securities purchased in the open market by any AMN team member, director or officer must be held for a minimum of six months and ideally longer, and that (ii) AMN team members, directors and officers may not purchase or sell on the open market, or sell and purchase, AMN securities during any six-month period;</w:t>
      </w:r>
    </w:p>
    <w:p>
      <w:pPr>
        <w:spacing w:after="0" w:line="164" w:lineRule="exact"/>
        <w:rPr>
          <w:rFonts w:ascii="Times New Roman" w:cs="Times New Roman" w:eastAsia="Times New Roman" w:hAnsi="Times New Roman"/>
          <w:sz w:val="21"/>
          <w:szCs w:val="21"/>
          <w:b w:val="1"/>
          <w:bCs w:val="1"/>
          <w:color w:val="auto"/>
        </w:rPr>
      </w:pPr>
    </w:p>
    <w:p>
      <w:pPr>
        <w:jc w:val="both"/>
        <w:ind w:left="1580" w:hanging="316"/>
        <w:spacing w:after="0" w:line="270" w:lineRule="auto"/>
        <w:tabs>
          <w:tab w:leader="none" w:pos="1627" w:val="left"/>
        </w:tabs>
        <w:numPr>
          <w:ilvl w:val="1"/>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the purpose of preventing the unfair use of information which may have been obtained by a reporting person, any profits realized by any Section 16 reporting person from any “purchase” and “sale” of Company stock during a six-month period, so called “short-swing profits,” may be recovered by the Company.</w:t>
      </w:r>
    </w:p>
    <w:p>
      <w:pPr>
        <w:spacing w:after="0" w:line="155" w:lineRule="exact"/>
        <w:rPr>
          <w:rFonts w:ascii="Times New Roman" w:cs="Times New Roman" w:eastAsia="Times New Roman" w:hAnsi="Times New Roman"/>
          <w:sz w:val="21"/>
          <w:szCs w:val="21"/>
          <w:b w:val="1"/>
          <w:bCs w:val="1"/>
          <w:color w:val="auto"/>
        </w:rPr>
      </w:pPr>
    </w:p>
    <w:p>
      <w:pPr>
        <w:ind w:left="1580" w:hanging="316"/>
        <w:spacing w:after="0"/>
        <w:tabs>
          <w:tab w:leader="none" w:pos="1580" w:val="left"/>
        </w:tabs>
        <w:numPr>
          <w:ilvl w:val="1"/>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Purchases of AMN securities on margin;</w:t>
      </w:r>
    </w:p>
    <w:p>
      <w:pPr>
        <w:spacing w:after="0" w:line="215" w:lineRule="exact"/>
        <w:rPr>
          <w:rFonts w:ascii="Times New Roman" w:cs="Times New Roman" w:eastAsia="Times New Roman" w:hAnsi="Times New Roman"/>
          <w:sz w:val="21"/>
          <w:szCs w:val="21"/>
          <w:b w:val="1"/>
          <w:bCs w:val="1"/>
          <w:color w:val="auto"/>
        </w:rPr>
      </w:pPr>
    </w:p>
    <w:p>
      <w:pPr>
        <w:ind w:left="1580" w:hanging="316"/>
        <w:spacing w:after="0" w:line="282" w:lineRule="auto"/>
        <w:tabs>
          <w:tab w:leader="none" w:pos="1575" w:val="left"/>
        </w:tabs>
        <w:numPr>
          <w:ilvl w:val="1"/>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Short sales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selling AMN securities you do not own and borrowing shares of such securities to make delivery);</w:t>
      </w:r>
    </w:p>
    <w:p>
      <w:pPr>
        <w:spacing w:after="0" w:line="155" w:lineRule="exact"/>
        <w:rPr>
          <w:rFonts w:ascii="Times New Roman" w:cs="Times New Roman" w:eastAsia="Times New Roman" w:hAnsi="Times New Roman"/>
          <w:sz w:val="21"/>
          <w:szCs w:val="21"/>
          <w:b w:val="1"/>
          <w:bCs w:val="1"/>
          <w:color w:val="auto"/>
        </w:rPr>
      </w:pPr>
    </w:p>
    <w:p>
      <w:pPr>
        <w:ind w:left="1580" w:hanging="316"/>
        <w:spacing w:after="0"/>
        <w:tabs>
          <w:tab w:leader="none" w:pos="1580" w:val="left"/>
        </w:tabs>
        <w:numPr>
          <w:ilvl w:val="1"/>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Buying or selling puts or calls in respect of AMN securities;</w:t>
      </w:r>
    </w:p>
    <w:p>
      <w:pPr>
        <w:spacing w:after="0" w:line="217" w:lineRule="exact"/>
        <w:rPr>
          <w:rFonts w:ascii="Times New Roman" w:cs="Times New Roman" w:eastAsia="Times New Roman" w:hAnsi="Times New Roman"/>
          <w:sz w:val="21"/>
          <w:szCs w:val="21"/>
          <w:b w:val="1"/>
          <w:bCs w:val="1"/>
          <w:color w:val="auto"/>
        </w:rPr>
      </w:pPr>
    </w:p>
    <w:p>
      <w:pPr>
        <w:ind w:left="1580" w:hanging="316"/>
        <w:spacing w:after="0" w:line="280" w:lineRule="auto"/>
        <w:tabs>
          <w:tab w:leader="none" w:pos="1575" w:val="left"/>
        </w:tabs>
        <w:numPr>
          <w:ilvl w:val="1"/>
          <w:numId w:val="1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Pledging, hypothecating or otherwise placing a lien on any shares of common stock or other equity interests of the Company that they own; and</w:t>
      </w:r>
    </w:p>
    <w:p>
      <w:pPr>
        <w:spacing w:after="0" w:line="157" w:lineRule="exact"/>
        <w:rPr>
          <w:rFonts w:ascii="Times New Roman" w:cs="Times New Roman" w:eastAsia="Times New Roman" w:hAnsi="Times New Roman"/>
          <w:sz w:val="21"/>
          <w:szCs w:val="21"/>
          <w:b w:val="1"/>
          <w:bCs w:val="1"/>
          <w:color w:val="auto"/>
        </w:rPr>
      </w:pPr>
    </w:p>
    <w:p>
      <w:pPr>
        <w:ind w:left="1580" w:hanging="316"/>
        <w:spacing w:after="0"/>
        <w:tabs>
          <w:tab w:leader="none" w:pos="158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2F2F2F"/>
        </w:rPr>
        <w:t>Hedging transactions of any kind.</w:t>
      </w:r>
    </w:p>
    <w:p>
      <w:pPr>
        <w:spacing w:after="0" w:line="121" w:lineRule="exact"/>
        <w:rPr>
          <w:rFonts w:ascii="Times New Roman" w:cs="Times New Roman" w:eastAsia="Times New Roman" w:hAnsi="Times New Roman"/>
          <w:sz w:val="21"/>
          <w:szCs w:val="21"/>
          <w:color w:val="auto"/>
        </w:rPr>
      </w:pPr>
    </w:p>
    <w:p>
      <w:pPr>
        <w:jc w:val="both"/>
        <w:ind w:firstLine="634"/>
        <w:spacing w:after="0" w:line="272" w:lineRule="auto"/>
        <w:tabs>
          <w:tab w:leader="none" w:pos="109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Trades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Covered Persons</w:t>
      </w:r>
      <w:r>
        <w:rPr>
          <w:rFonts w:ascii="Times New Roman" w:cs="Times New Roman" w:eastAsia="Times New Roman" w:hAnsi="Times New Roman"/>
          <w:sz w:val="21"/>
          <w:szCs w:val="21"/>
          <w:color w:val="auto"/>
        </w:rPr>
        <w:t xml:space="preserve">. All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are subject to “blackout” periods and must “pre-clear”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in AMN securities in accordance with the procedures set forth in Part II below. All other AMN team members are not subject to the procedures set forth in Part II.</w:t>
      </w:r>
    </w:p>
    <w:p>
      <w:pPr>
        <w:spacing w:after="0" w:line="153" w:lineRule="exact"/>
        <w:rPr>
          <w:rFonts w:ascii="Times New Roman" w:cs="Times New Roman" w:eastAsia="Times New Roman" w:hAnsi="Times New Roman"/>
          <w:sz w:val="21"/>
          <w:szCs w:val="21"/>
          <w:color w:val="auto"/>
        </w:rPr>
      </w:pPr>
    </w:p>
    <w:p>
      <w:pPr>
        <w:ind w:firstLine="634"/>
        <w:spacing w:after="0" w:line="280" w:lineRule="auto"/>
        <w:tabs>
          <w:tab w:leader="none" w:pos="1031"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Key Definitions</w:t>
      </w:r>
      <w:r>
        <w:rPr>
          <w:rFonts w:ascii="Times New Roman" w:cs="Times New Roman" w:eastAsia="Times New Roman" w:hAnsi="Times New Roman"/>
          <w:sz w:val="21"/>
          <w:szCs w:val="21"/>
          <w:color w:val="auto"/>
        </w:rPr>
        <w:t>. The following are defined terms that are used in this policy. For ease of reference, whenever a defined term is used in this policy it is bolded and italicized.</w:t>
      </w:r>
    </w:p>
    <w:p>
      <w:pPr>
        <w:spacing w:after="0" w:line="141" w:lineRule="exact"/>
        <w:rPr>
          <w:sz w:val="20"/>
          <w:szCs w:val="20"/>
          <w:color w:val="auto"/>
        </w:rPr>
      </w:pPr>
    </w:p>
    <w:p>
      <w:pPr>
        <w:jc w:val="both"/>
        <w:ind w:firstLine="1264"/>
        <w:spacing w:after="0" w:line="264" w:lineRule="auto"/>
        <w:tabs>
          <w:tab w:leader="none" w:pos="188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Individuals comprising the following groups or departments are considered</w:t>
      </w:r>
      <w:r>
        <w:rPr>
          <w:rFonts w:ascii="Times New Roman" w:cs="Times New Roman" w:eastAsia="Times New Roman" w:hAnsi="Times New Roman"/>
          <w:sz w:val="21"/>
          <w:szCs w:val="21"/>
          <w:b w:val="1"/>
          <w:bCs w:val="1"/>
          <w:i w:val="1"/>
          <w:iCs w:val="1"/>
          <w:color w:val="auto"/>
        </w:rPr>
        <w:t xml:space="preserve"> Covered Persons </w:t>
      </w:r>
      <w:r>
        <w:rPr>
          <w:rFonts w:ascii="Times New Roman" w:cs="Times New Roman" w:eastAsia="Times New Roman" w:hAnsi="Times New Roman"/>
          <w:sz w:val="21"/>
          <w:szCs w:val="21"/>
          <w:color w:val="auto"/>
        </w:rPr>
        <w:t>under this policy: (1) AMN Healthcare Services, Inc. Board members and officers, (2) Senior Leadership Forum, (3)</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Corporate Finance and Accounting, (4) Corporate Audit Services, (5) Legal and (6) Executive Assistants to members of the Company’s CEO Committee.</w:t>
      </w:r>
    </w:p>
    <w:p>
      <w:pPr>
        <w:spacing w:after="0" w:line="157" w:lineRule="exact"/>
        <w:rPr>
          <w:rFonts w:ascii="Times New Roman" w:cs="Times New Roman" w:eastAsia="Times New Roman" w:hAnsi="Times New Roman"/>
          <w:sz w:val="21"/>
          <w:szCs w:val="21"/>
          <w:color w:val="auto"/>
        </w:rPr>
      </w:pPr>
    </w:p>
    <w:p>
      <w:pPr>
        <w:jc w:val="both"/>
        <w:ind w:firstLine="1264"/>
        <w:spacing w:after="0" w:line="264" w:lineRule="auto"/>
        <w:tabs>
          <w:tab w:leader="none" w:pos="188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Insider trading restrictions come into play only if the information you possess is “material.”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information is any information that a reasonable investor would consider important in a decision to buy, hold or sell the applicable security. In short, any information that could reasonably affect the price of the security. Common examples of information that may be regarded as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are:</w:t>
      </w:r>
    </w:p>
    <w:p>
      <w:pPr>
        <w:spacing w:after="0" w:line="56" w:lineRule="exact"/>
        <w:rPr>
          <w:sz w:val="20"/>
          <w:szCs w:val="20"/>
          <w:color w:val="auto"/>
        </w:rPr>
      </w:pPr>
    </w:p>
    <w:p>
      <w:pPr>
        <w:ind w:left="1580" w:hanging="316"/>
        <w:spacing w:after="0" w:line="280" w:lineRule="auto"/>
        <w:tabs>
          <w:tab w:leader="none" w:pos="15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about unpublicized earnings or losses, including whether the Company may miss its earnings guidance;</w:t>
      </w:r>
    </w:p>
    <w:p>
      <w:pPr>
        <w:spacing w:after="0" w:line="39"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changes in the Company’s future prospects;</w:t>
      </w:r>
    </w:p>
    <w:p>
      <w:pPr>
        <w:spacing w:after="0" w:line="112"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regarding significant litigation or government agency investigations;</w:t>
      </w:r>
    </w:p>
    <w:p>
      <w:pPr>
        <w:spacing w:after="0" w:line="125"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 in credit arrangements, debt offerings or liquidity issues;</w:t>
      </w:r>
    </w:p>
    <w:p>
      <w:pPr>
        <w:spacing w:after="0" w:line="112"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news of a pending or proposed acquisition or merger;</w:t>
      </w:r>
    </w:p>
    <w:p>
      <w:pPr>
        <w:spacing w:after="0" w:line="112"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acquisition or tender offer, news of a significant sale of assets or the disposition of a subsidiary;</w:t>
      </w:r>
    </w:p>
    <w:p>
      <w:pPr>
        <w:spacing w:after="0" w:line="112" w:lineRule="exact"/>
        <w:rPr>
          <w:rFonts w:ascii="Times New Roman" w:cs="Times New Roman" w:eastAsia="Times New Roman" w:hAnsi="Times New Roman"/>
          <w:sz w:val="21"/>
          <w:szCs w:val="21"/>
          <w:color w:val="auto"/>
        </w:rPr>
      </w:pPr>
    </w:p>
    <w:p>
      <w:pPr>
        <w:ind w:left="1580" w:hanging="316"/>
        <w:spacing w:after="0" w:line="280" w:lineRule="auto"/>
        <w:tabs>
          <w:tab w:leader="none" w:pos="157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dividend policies, stock repurchase program or the declaration of a stock split or the offering of additional securities;</w:t>
      </w: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78"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363" w:lineRule="exact"/>
        <w:rPr>
          <w:sz w:val="20"/>
          <w:szCs w:val="20"/>
          <w:color w:val="auto"/>
        </w:rPr>
      </w:pPr>
    </w:p>
    <w:p>
      <w:pPr>
        <w:ind w:left="1580" w:hanging="316"/>
        <w:spacing w:after="0"/>
        <w:tabs>
          <w:tab w:leader="none" w:pos="15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top management;</w:t>
      </w:r>
    </w:p>
    <w:p>
      <w:pPr>
        <w:spacing w:after="0" w:line="112"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or suspected cybersecurity incidents involving the Company; and</w:t>
      </w:r>
    </w:p>
    <w:p>
      <w:pPr>
        <w:spacing w:after="0" w:line="112" w:lineRule="exact"/>
        <w:rPr>
          <w:rFonts w:ascii="Times New Roman" w:cs="Times New Roman" w:eastAsia="Times New Roman" w:hAnsi="Times New Roman"/>
          <w:sz w:val="21"/>
          <w:szCs w:val="21"/>
          <w:color w:val="auto"/>
        </w:rPr>
      </w:pPr>
    </w:p>
    <w:p>
      <w:pPr>
        <w:ind w:left="1580" w:hanging="316"/>
        <w:spacing w:after="0"/>
        <w:tabs>
          <w:tab w:leader="none" w:pos="15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gain or loss of a substantial client .</w:t>
      </w:r>
    </w:p>
    <w:p>
      <w:pPr>
        <w:spacing w:after="0" w:line="109"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Either positive or negative information may be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In addition, the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information does not have to be related to the Company’s business. For instance, if certain forthcoming overall market or industry information is expected to impact the market price of a security, it can be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Remember, if your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becomes the subject of scrutiny, it will be viewed after-the-fact with the benefit of hindsight. As a result, before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you should carefully consider how regulators and others might view your transaction in hindsight. When in doubt about whether particular </w:t>
      </w:r>
      <w:r>
        <w:rPr>
          <w:rFonts w:ascii="Times New Roman" w:cs="Times New Roman" w:eastAsia="Times New Roman" w:hAnsi="Times New Roman"/>
          <w:sz w:val="21"/>
          <w:szCs w:val="21"/>
          <w:b w:val="1"/>
          <w:bCs w:val="1"/>
          <w:i w:val="1"/>
          <w:iCs w:val="1"/>
          <w:color w:val="auto"/>
        </w:rPr>
        <w:t>Non-Public Information</w:t>
      </w:r>
      <w:r>
        <w:rPr>
          <w:rFonts w:ascii="Times New Roman" w:cs="Times New Roman" w:eastAsia="Times New Roman" w:hAnsi="Times New Roman"/>
          <w:sz w:val="21"/>
          <w:szCs w:val="21"/>
          <w:color w:val="auto"/>
        </w:rPr>
        <w:t xml:space="preserve"> is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presume it is. If you are unsure whether information is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you should consult the Chief Legal Officer before making any decision to disclose such information (other than to persons who need to know it) or to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in or recommend securities to which that information relates.</w:t>
      </w:r>
    </w:p>
    <w:p>
      <w:pPr>
        <w:spacing w:after="0" w:line="203" w:lineRule="exact"/>
        <w:rPr>
          <w:sz w:val="20"/>
          <w:szCs w:val="20"/>
          <w:color w:val="auto"/>
        </w:rPr>
      </w:pPr>
    </w:p>
    <w:p>
      <w:pPr>
        <w:jc w:val="both"/>
        <w:ind w:firstLine="1264"/>
        <w:spacing w:after="0" w:line="305" w:lineRule="auto"/>
        <w:tabs>
          <w:tab w:leader="none" w:pos="1888"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Non-Public Information</w:t>
      </w:r>
      <w:r>
        <w:rPr>
          <w:rFonts w:ascii="Times New Roman" w:cs="Times New Roman" w:eastAsia="Times New Roman" w:hAnsi="Times New Roman"/>
          <w:sz w:val="21"/>
          <w:szCs w:val="21"/>
          <w:color w:val="auto"/>
        </w:rPr>
        <w:t>. Insider trading prohibitions come into play only when you possess information that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is both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and “non-public.” Information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opening bell of the NYSE on the second trading day after the day the information was publicly disclosed before you can treat the information as public. Non-public information may include: (1) information available to a select group of analysts or brokers or institutional investors; (2) undisclosed facts that are the subject of rumors, even if the rumors are widely circulated; and (3) information that has been entrusted to the Company on a confidential basis until a public announcement of the information has been made. Similar to questions of materiality, if you are not sure whether information is considered public, you should either consult with the Chief Legal Officer or assume that the information is </w:t>
      </w:r>
      <w:r>
        <w:rPr>
          <w:rFonts w:ascii="Times New Roman" w:cs="Times New Roman" w:eastAsia="Times New Roman" w:hAnsi="Times New Roman"/>
          <w:sz w:val="21"/>
          <w:szCs w:val="21"/>
          <w:b w:val="1"/>
          <w:bCs w:val="1"/>
          <w:i w:val="1"/>
          <w:iCs w:val="1"/>
          <w:color w:val="auto"/>
        </w:rPr>
        <w:t>Non-Public Information</w:t>
      </w:r>
      <w:r>
        <w:rPr>
          <w:rFonts w:ascii="Times New Roman" w:cs="Times New Roman" w:eastAsia="Times New Roman" w:hAnsi="Times New Roman"/>
          <w:sz w:val="21"/>
          <w:szCs w:val="21"/>
          <w:color w:val="auto"/>
        </w:rPr>
        <w:t>.</w:t>
      </w:r>
    </w:p>
    <w:p>
      <w:pPr>
        <w:spacing w:after="0" w:line="39" w:lineRule="exact"/>
        <w:rPr>
          <w:rFonts w:ascii="Times New Roman" w:cs="Times New Roman" w:eastAsia="Times New Roman" w:hAnsi="Times New Roman"/>
          <w:sz w:val="21"/>
          <w:szCs w:val="21"/>
          <w:color w:val="auto"/>
        </w:rPr>
      </w:pPr>
    </w:p>
    <w:p>
      <w:pPr>
        <w:jc w:val="both"/>
        <w:ind w:firstLine="1264"/>
        <w:spacing w:after="0" w:line="260" w:lineRule="auto"/>
        <w:tabs>
          <w:tab w:leader="none" w:pos="1888"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Related Persons. </w:t>
      </w:r>
      <w:r>
        <w:rPr>
          <w:rFonts w:ascii="Times New Roman" w:cs="Times New Roman" w:eastAsia="Times New Roman" w:hAnsi="Times New Roman"/>
          <w:sz w:val="21"/>
          <w:szCs w:val="21"/>
          <w:color w:val="auto"/>
        </w:rPr>
        <w:t>You are expected to be responsible for compliance with this policy by</w:t>
      </w:r>
      <w:r>
        <w:rPr>
          <w:rFonts w:ascii="Times New Roman" w:cs="Times New Roman" w:eastAsia="Times New Roman" w:hAnsi="Times New Roman"/>
          <w:sz w:val="21"/>
          <w:szCs w:val="21"/>
          <w:b w:val="1"/>
          <w:bCs w:val="1"/>
          <w:i w:val="1"/>
          <w:iCs w:val="1"/>
          <w:color w:val="auto"/>
        </w:rPr>
        <w:t xml:space="preserve"> Related Persons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Related Persons </w:t>
      </w:r>
      <w:r>
        <w:rPr>
          <w:rFonts w:ascii="Times New Roman" w:cs="Times New Roman" w:eastAsia="Times New Roman" w:hAnsi="Times New Roman"/>
          <w:sz w:val="21"/>
          <w:szCs w:val="21"/>
          <w:color w:val="auto"/>
        </w:rPr>
        <w:t>means your spouse, minor children, anyone living in your household, partnerships in which you are a general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partner, trusts of which you are a trustee, estates of which you are an executor and other equivalent legal entities that you control. You should promptly advise all </w:t>
      </w:r>
      <w:r>
        <w:rPr>
          <w:rFonts w:ascii="Times New Roman" w:cs="Times New Roman" w:eastAsia="Times New Roman" w:hAnsi="Times New Roman"/>
          <w:sz w:val="21"/>
          <w:szCs w:val="21"/>
          <w:b w:val="1"/>
          <w:bCs w:val="1"/>
          <w:i w:val="1"/>
          <w:iCs w:val="1"/>
          <w:color w:val="auto"/>
        </w:rPr>
        <w:t>Related Persons</w:t>
      </w:r>
      <w:r>
        <w:rPr>
          <w:rFonts w:ascii="Times New Roman" w:cs="Times New Roman" w:eastAsia="Times New Roman" w:hAnsi="Times New Roman"/>
          <w:sz w:val="21"/>
          <w:szCs w:val="21"/>
          <w:color w:val="auto"/>
        </w:rPr>
        <w:t xml:space="preserve"> of your obligations under this policy and inform them that they must advise you of any potential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in AMN securities prior to engaging in any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ind w:left="1640" w:hanging="376"/>
        <w:spacing w:after="0"/>
        <w:tabs>
          <w:tab w:leader="none" w:pos="164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Trade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i w:val="1"/>
          <w:iCs w:val="1"/>
          <w:color w:val="auto"/>
        </w:rPr>
        <w:t xml:space="preserve"> trading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Trade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i w:val="1"/>
          <w:iCs w:val="1"/>
          <w:color w:val="auto"/>
        </w:rPr>
        <w:t xml:space="preserve"> trading </w:t>
      </w:r>
      <w:r>
        <w:rPr>
          <w:rFonts w:ascii="Times New Roman" w:cs="Times New Roman" w:eastAsia="Times New Roman" w:hAnsi="Times New Roman"/>
          <w:sz w:val="21"/>
          <w:szCs w:val="21"/>
          <w:color w:val="auto"/>
        </w:rPr>
        <w:t>means the sale, purchase, transfer, gift or loan of any AMN security.</w:t>
      </w:r>
    </w:p>
    <w:p>
      <w:pPr>
        <w:spacing w:after="0" w:line="230" w:lineRule="exact"/>
        <w:rPr>
          <w:rFonts w:ascii="Times New Roman" w:cs="Times New Roman" w:eastAsia="Times New Roman" w:hAnsi="Times New Roman"/>
          <w:sz w:val="21"/>
          <w:szCs w:val="21"/>
          <w:color w:val="auto"/>
        </w:rPr>
      </w:pPr>
    </w:p>
    <w:p>
      <w:pPr>
        <w:jc w:val="both"/>
        <w:ind w:firstLine="629"/>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 </w:t>
      </w:r>
      <w:r>
        <w:rPr>
          <w:rFonts w:ascii="Times New Roman" w:cs="Times New Roman" w:eastAsia="Times New Roman" w:hAnsi="Times New Roman"/>
          <w:sz w:val="21"/>
          <w:szCs w:val="21"/>
          <w:u w:val="single" w:color="auto"/>
          <w:color w:val="auto"/>
        </w:rPr>
        <w:t>General Confidentiality Obligations</w:t>
      </w:r>
      <w:r>
        <w:rPr>
          <w:rFonts w:ascii="Times New Roman" w:cs="Times New Roman" w:eastAsia="Times New Roman" w:hAnsi="Times New Roman"/>
          <w:sz w:val="21"/>
          <w:szCs w:val="21"/>
          <w:color w:val="auto"/>
        </w:rPr>
        <w:t xml:space="preserve">. The restrictions set forth in this policy are designed to avoid misuse of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Non-Public Information </w:t>
      </w:r>
      <w:r>
        <w:rPr>
          <w:rFonts w:ascii="Times New Roman" w:cs="Times New Roman" w:eastAsia="Times New Roman" w:hAnsi="Times New Roman"/>
          <w:sz w:val="21"/>
          <w:szCs w:val="21"/>
          <w:color w:val="auto"/>
        </w:rPr>
        <w:t>in violation of the insider trading laws. These restrictions are in addition to, and in no way alter, the general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obligations that each AMN team member has to maintain the confidentiality of all confidential or proprietary information concerning the Company and its business, as well as any other confidential information, that may be learned in the course of employment. No such information is to be disclosed to any other AMN team member, unless that person has a clear need to know that information, and no such information may be disclosed to any third parties, except as required or otherwise contemplated by your function or position.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7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359"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 xml:space="preserve">The Board of Directors has established procedures for the release of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including the designation of company spokespersons, to achieve broad public dissemination of that information. Accordingly, no AMN officer, director or other team member may disclose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to any person outside of the Company, except in accordance with these procedures. This prohibition extends to discussions concerning AMN and our business in Internet chat rooms, websites, any form of social media or any other forum. For more information about the procedures regarding the release of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Non-Public Information</w:t>
      </w:r>
      <w:r>
        <w:rPr>
          <w:rFonts w:ascii="Times New Roman" w:cs="Times New Roman" w:eastAsia="Times New Roman" w:hAnsi="Times New Roman"/>
          <w:sz w:val="21"/>
          <w:szCs w:val="21"/>
          <w:color w:val="auto"/>
        </w:rPr>
        <w:t>, please review the Company’s Information Disclosure Policy, a link to which can be found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u w:val="single" w:color="auto"/>
          <w:color w:val="0000FF"/>
        </w:rPr>
        <w:t>HERE</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Part II. Blackouts and Pre-Clearance of All Trades By </w:t>
      </w:r>
      <w:r>
        <w:rPr>
          <w:rFonts w:ascii="Arial" w:cs="Arial" w:eastAsia="Arial" w:hAnsi="Arial"/>
          <w:sz w:val="21"/>
          <w:szCs w:val="21"/>
          <w:b w:val="1"/>
          <w:bCs w:val="1"/>
          <w:i w:val="1"/>
          <w:iCs w:val="1"/>
          <w:color w:val="auto"/>
        </w:rPr>
        <w:t>Covered Person</w:t>
      </w:r>
      <w:r>
        <w:rPr>
          <w:rFonts w:ascii="Arial" w:cs="Arial" w:eastAsia="Arial" w:hAnsi="Arial"/>
          <w:sz w:val="21"/>
          <w:szCs w:val="21"/>
          <w:b w:val="1"/>
          <w:bCs w:val="1"/>
          <w:color w:val="auto"/>
        </w:rPr>
        <w:t>s</w:t>
      </w:r>
    </w:p>
    <w:p>
      <w:pPr>
        <w:spacing w:after="0" w:line="21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To provide assistance in preventing inadvertent violations and avoiding even the appearance of an improper transaction, the following applies to all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ind w:firstLine="634"/>
        <w:spacing w:after="0" w:line="297" w:lineRule="auto"/>
        <w:tabs>
          <w:tab w:leader="none" w:pos="125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Prohibited During Blackout Periods</w:t>
      </w:r>
      <w:r>
        <w:rPr>
          <w:rFonts w:ascii="Times New Roman" w:cs="Times New Roman" w:eastAsia="Times New Roman" w:hAnsi="Times New Roman"/>
          <w:sz w:val="21"/>
          <w:szCs w:val="21"/>
          <w:color w:val="auto"/>
        </w:rPr>
        <w:t xml:space="preserve">. All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are prohibited from, directly or indirectly, engaging in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in AMN securities during blackout periods.</w:t>
      </w:r>
    </w:p>
    <w:p>
      <w:pPr>
        <w:spacing w:after="0" w:line="123" w:lineRule="exact"/>
        <w:rPr>
          <w:rFonts w:ascii="Times New Roman" w:cs="Times New Roman" w:eastAsia="Times New Roman" w:hAnsi="Times New Roman"/>
          <w:sz w:val="21"/>
          <w:szCs w:val="21"/>
          <w:color w:val="auto"/>
        </w:rPr>
      </w:pPr>
    </w:p>
    <w:p>
      <w:pPr>
        <w:jc w:val="both"/>
        <w:ind w:firstLine="1264"/>
        <w:spacing w:after="0" w:line="239" w:lineRule="auto"/>
        <w:tabs>
          <w:tab w:leader="none" w:pos="188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Blackout Periods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in AMN securities is prohibited during the period beginning at the close of market on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last month of each Company fiscal quarter end (or the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or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as applicable, if the 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falls on a weekend) and ending at the opening bell of the NYSE on the second business day following the date the Company’s financial results are publicly disclosed. The Chief Legal Officer may begin a quarterly blackout period earlier if prudent under the circumstances. The AMN Equity Administration team will notify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of the opening and closing of each quarterly blackout.</w:t>
      </w:r>
    </w:p>
    <w:p>
      <w:pPr>
        <w:spacing w:after="0" w:line="197" w:lineRule="exact"/>
        <w:rPr>
          <w:rFonts w:ascii="Times New Roman" w:cs="Times New Roman" w:eastAsia="Times New Roman" w:hAnsi="Times New Roman"/>
          <w:sz w:val="21"/>
          <w:szCs w:val="21"/>
          <w:color w:val="auto"/>
        </w:rPr>
      </w:pPr>
    </w:p>
    <w:p>
      <w:pPr>
        <w:jc w:val="both"/>
        <w:ind w:firstLine="1264"/>
        <w:spacing w:after="0" w:line="257" w:lineRule="auto"/>
        <w:tabs>
          <w:tab w:leader="none" w:pos="188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Blackout Periods</w:t>
      </w:r>
      <w:r>
        <w:rPr>
          <w:rFonts w:ascii="Times New Roman" w:cs="Times New Roman" w:eastAsia="Times New Roman" w:hAnsi="Times New Roman"/>
          <w:sz w:val="21"/>
          <w:szCs w:val="21"/>
          <w:color w:val="auto"/>
        </w:rPr>
        <w:t xml:space="preserve">. From time to time, other types of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regarding AMN (such as negotiation of mergers or acquisitions) may be pending and not be publicly disclosed. In such circumstances, the Company may impose special blackout periods during which all or certain groups of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are prohibited from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in AMN securities. If AMN imposes a special blackout period, we will notify the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affected. The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subject to the special blackout period shall not reveal to any person not subject to the special blackout period the fact that a special blackout period is in effect.</w:t>
      </w:r>
    </w:p>
    <w:p>
      <w:pPr>
        <w:spacing w:after="0" w:line="166" w:lineRule="exact"/>
        <w:rPr>
          <w:rFonts w:ascii="Times New Roman" w:cs="Times New Roman" w:eastAsia="Times New Roman" w:hAnsi="Times New Roman"/>
          <w:sz w:val="21"/>
          <w:szCs w:val="21"/>
          <w:color w:val="auto"/>
        </w:rPr>
      </w:pPr>
    </w:p>
    <w:p>
      <w:pPr>
        <w:jc w:val="both"/>
        <w:ind w:firstLine="634"/>
        <w:spacing w:after="0" w:line="266" w:lineRule="auto"/>
        <w:tabs>
          <w:tab w:leader="none" w:pos="1254"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 of Securities Transactions</w:t>
      </w:r>
      <w:r>
        <w:rPr>
          <w:rFonts w:ascii="Times New Roman" w:cs="Times New Roman" w:eastAsia="Times New Roman" w:hAnsi="Times New Roman"/>
          <w:sz w:val="21"/>
          <w:szCs w:val="21"/>
          <w:color w:val="auto"/>
        </w:rPr>
        <w:t xml:space="preserve">. Even when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s are not subject to a blackout period under Part II.A, they may not engage in any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of AMN securities without first pre-clearing it with the Chief Legal Officer. </w:t>
      </w:r>
      <w:r>
        <w:rPr>
          <w:rFonts w:ascii="Times New Roman" w:cs="Times New Roman" w:eastAsia="Times New Roman" w:hAnsi="Times New Roman"/>
          <w:sz w:val="21"/>
          <w:szCs w:val="21"/>
          <w:b w:val="1"/>
          <w:bCs w:val="1"/>
          <w:i w:val="1"/>
          <w:iCs w:val="1"/>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s should use the following procedure to pre-clear a</w:t>
      </w:r>
      <w:r>
        <w:rPr>
          <w:rFonts w:ascii="Times New Roman" w:cs="Times New Roman" w:eastAsia="Times New Roman" w:hAnsi="Times New Roman"/>
          <w:sz w:val="21"/>
          <w:szCs w:val="21"/>
          <w:b w:val="1"/>
          <w:bCs w:val="1"/>
          <w:i w:val="1"/>
          <w:iCs w:val="1"/>
          <w:color w:val="auto"/>
        </w:rPr>
        <w:t xml:space="preserve"> trade </w:t>
      </w:r>
      <w:r>
        <w:rPr>
          <w:rFonts w:ascii="Times New Roman" w:cs="Times New Roman" w:eastAsia="Times New Roman" w:hAnsi="Times New Roman"/>
          <w:sz w:val="21"/>
          <w:szCs w:val="21"/>
          <w:color w:val="auto"/>
        </w:rPr>
        <w:t>in AMN securities:</w:t>
      </w:r>
    </w:p>
    <w:p>
      <w:pPr>
        <w:spacing w:after="0" w:line="154" w:lineRule="exact"/>
        <w:rPr>
          <w:rFonts w:ascii="Times New Roman" w:cs="Times New Roman" w:eastAsia="Times New Roman" w:hAnsi="Times New Roman"/>
          <w:sz w:val="21"/>
          <w:szCs w:val="21"/>
          <w:color w:val="auto"/>
        </w:rPr>
      </w:pPr>
    </w:p>
    <w:p>
      <w:pPr>
        <w:ind w:left="1880" w:hanging="616"/>
        <w:spacing w:after="0"/>
        <w:tabs>
          <w:tab w:leader="none" w:pos="1880"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Contact the Chief Legal Officer in writing for approval.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must provide the following</w:t>
      </w:r>
    </w:p>
    <w:p>
      <w:pPr>
        <w:spacing w:after="0" w:line="37" w:lineRule="exact"/>
        <w:rPr>
          <w:rFonts w:ascii="Times New Roman" w:cs="Times New Roman" w:eastAsia="Times New Roman" w:hAnsi="Times New Roman"/>
          <w:sz w:val="21"/>
          <w:szCs w:val="21"/>
          <w:color w:val="auto"/>
        </w:rPr>
      </w:pPr>
    </w:p>
    <w:p>
      <w:pPr>
        <w:jc w:val="both"/>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information: (a) Name, (b) Department, (c) Position, (d) type of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requested (e.g., sale or purchase) and (e) a statement, if true, that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does not possess any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AMN team members should submit requests for pre-clearance through the form on </w:t>
      </w:r>
      <w:r>
        <w:rPr>
          <w:rFonts w:ascii="Times New Roman" w:cs="Times New Roman" w:eastAsia="Times New Roman" w:hAnsi="Times New Roman"/>
          <w:sz w:val="21"/>
          <w:szCs w:val="21"/>
          <w:i w:val="1"/>
          <w:iCs w:val="1"/>
          <w:color w:val="auto"/>
        </w:rPr>
        <w:t>Connections</w:t>
      </w:r>
      <w:r>
        <w:rPr>
          <w:rFonts w:ascii="Times New Roman" w:cs="Times New Roman" w:eastAsia="Times New Roman" w:hAnsi="Times New Roman"/>
          <w:sz w:val="21"/>
          <w:szCs w:val="21"/>
          <w:color w:val="auto"/>
        </w:rPr>
        <w:t xml:space="preserve"> found </w:t>
      </w:r>
      <w:r>
        <w:rPr>
          <w:rFonts w:ascii="Times New Roman" w:cs="Times New Roman" w:eastAsia="Times New Roman" w:hAnsi="Times New Roman"/>
          <w:sz w:val="21"/>
          <w:szCs w:val="21"/>
          <w:u w:val="single" w:color="auto"/>
          <w:color w:val="0000FF"/>
        </w:rPr>
        <w:t>HERE</w:t>
      </w:r>
      <w:r>
        <w:rPr>
          <w:rFonts w:ascii="Times New Roman" w:cs="Times New Roman" w:eastAsia="Times New Roman" w:hAnsi="Times New Roman"/>
          <w:sz w:val="21"/>
          <w:szCs w:val="21"/>
          <w:color w:val="auto"/>
        </w:rPr>
        <w:t>.</w:t>
      </w:r>
    </w:p>
    <w:p>
      <w:pPr>
        <w:spacing w:after="0" w:line="195" w:lineRule="exact"/>
        <w:rPr>
          <w:rFonts w:ascii="Times New Roman" w:cs="Times New Roman" w:eastAsia="Times New Roman" w:hAnsi="Times New Roman"/>
          <w:sz w:val="21"/>
          <w:szCs w:val="21"/>
          <w:color w:val="auto"/>
        </w:rPr>
      </w:pPr>
    </w:p>
    <w:p>
      <w:pPr>
        <w:jc w:val="both"/>
        <w:ind w:firstLine="1264"/>
        <w:spacing w:after="0" w:line="263" w:lineRule="auto"/>
        <w:tabs>
          <w:tab w:leader="none" w:pos="188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Chief Legal Officer will make a determination based on the facts and circumstances known at the time whether the person is in possession of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and/or the extent that a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color w:val="auto"/>
        </w:rPr>
        <w:t xml:space="preserve"> event or development affecting the Company remains nonpublic and advise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if the transaction may proceed. The Chief Legal Officer may consult with the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manager or other personnel in making this determination.</w:t>
      </w:r>
    </w:p>
    <w:p>
      <w:pPr>
        <w:spacing w:after="0" w:line="183" w:lineRule="exact"/>
        <w:rPr>
          <w:rFonts w:ascii="Times New Roman" w:cs="Times New Roman" w:eastAsia="Times New Roman" w:hAnsi="Times New Roman"/>
          <w:sz w:val="21"/>
          <w:szCs w:val="21"/>
          <w:color w:val="auto"/>
        </w:rPr>
      </w:pPr>
    </w:p>
    <w:p>
      <w:pPr>
        <w:ind w:firstLine="1264"/>
        <w:spacing w:after="0" w:line="284" w:lineRule="auto"/>
        <w:tabs>
          <w:tab w:leader="none" w:pos="188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Chief Legal Officer grants clearance for a requested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the Chief Legal Officer will advise the </w:t>
      </w:r>
      <w:r>
        <w:rPr>
          <w:rFonts w:ascii="Times New Roman" w:cs="Times New Roman" w:eastAsia="Times New Roman" w:hAnsi="Times New Roman"/>
          <w:sz w:val="21"/>
          <w:szCs w:val="21"/>
          <w:b w:val="1"/>
          <w:bCs w:val="1"/>
          <w:i w:val="1"/>
          <w:iCs w:val="1"/>
          <w:color w:val="auto"/>
        </w:rPr>
        <w:t xml:space="preserve">Covered Person </w:t>
      </w:r>
      <w:r>
        <w:rPr>
          <w:rFonts w:ascii="Times New Roman" w:cs="Times New Roman" w:eastAsia="Times New Roman" w:hAnsi="Times New Roman"/>
          <w:sz w:val="21"/>
          <w:szCs w:val="21"/>
          <w:color w:val="auto"/>
        </w:rPr>
        <w:t>by responding to the pre-clearance form submitted by the</w:t>
      </w:r>
      <w:r>
        <w:rPr>
          <w:rFonts w:ascii="Times New Roman" w:cs="Times New Roman" w:eastAsia="Times New Roman" w:hAnsi="Times New Roman"/>
          <w:sz w:val="21"/>
          <w:szCs w:val="21"/>
          <w:b w:val="1"/>
          <w:bCs w:val="1"/>
          <w:i w:val="1"/>
          <w:iCs w:val="1"/>
          <w:color w:val="auto"/>
        </w:rPr>
        <w:t xml:space="preserve"> Covered Person</w:t>
      </w:r>
      <w:r>
        <w:rPr>
          <w:rFonts w:ascii="Times New Roman" w:cs="Times New Roman" w:eastAsia="Times New Roman" w:hAnsi="Times New Roman"/>
          <w:sz w:val="21"/>
          <w:szCs w:val="21"/>
          <w:color w:val="auto"/>
        </w:rPr>
        <w:t>.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78"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3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response will be logged and emailed to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Unless revoked, a grant of permission will normally remain valid until the closing bell of the NYSE on the second trading day following the day on which it was granted (it being understood that if the </w:t>
      </w:r>
      <w:r>
        <w:rPr>
          <w:rFonts w:ascii="Times New Roman" w:cs="Times New Roman" w:eastAsia="Times New Roman" w:hAnsi="Times New Roman"/>
          <w:sz w:val="21"/>
          <w:szCs w:val="21"/>
          <w:b w:val="1"/>
          <w:bCs w:val="1"/>
          <w:i w:val="1"/>
          <w:iCs w:val="1"/>
          <w:color w:val="auto"/>
        </w:rPr>
        <w:t xml:space="preserve">Covered Person </w:t>
      </w:r>
      <w:r>
        <w:rPr>
          <w:rFonts w:ascii="Times New Roman" w:cs="Times New Roman" w:eastAsia="Times New Roman" w:hAnsi="Times New Roman"/>
          <w:sz w:val="21"/>
          <w:szCs w:val="21"/>
          <w:color w:val="auto"/>
        </w:rPr>
        <w:t>becomes aware of</w:t>
      </w:r>
      <w:r>
        <w:rPr>
          <w:rFonts w:ascii="Times New Roman" w:cs="Times New Roman" w:eastAsia="Times New Roman" w:hAnsi="Times New Roman"/>
          <w:sz w:val="21"/>
          <w:szCs w:val="21"/>
          <w:b w:val="1"/>
          <w:bCs w:val="1"/>
          <w:i w:val="1"/>
          <w:iCs w:val="1"/>
          <w:color w:val="auto"/>
        </w:rPr>
        <w:t xml:space="preserve"> Material Non-Public Information </w:t>
      </w:r>
      <w:r>
        <w:rPr>
          <w:rFonts w:ascii="Times New Roman" w:cs="Times New Roman" w:eastAsia="Times New Roman" w:hAnsi="Times New Roman"/>
          <w:sz w:val="21"/>
          <w:szCs w:val="21"/>
          <w:color w:val="auto"/>
        </w:rPr>
        <w:t>prior to actually making the requested</w:t>
      </w:r>
      <w:r>
        <w:rPr>
          <w:rFonts w:ascii="Times New Roman" w:cs="Times New Roman" w:eastAsia="Times New Roman" w:hAnsi="Times New Roman"/>
          <w:sz w:val="21"/>
          <w:szCs w:val="21"/>
          <w:b w:val="1"/>
          <w:bCs w:val="1"/>
          <w:i w:val="1"/>
          <w:iCs w:val="1"/>
          <w:color w:val="auto"/>
        </w:rPr>
        <w:t xml:space="preserve"> trade</w:t>
      </w:r>
      <w:r>
        <w:rPr>
          <w:rFonts w:ascii="Times New Roman" w:cs="Times New Roman" w:eastAsia="Times New Roman" w:hAnsi="Times New Roman"/>
          <w:sz w:val="21"/>
          <w:szCs w:val="21"/>
          <w:color w:val="auto"/>
        </w:rPr>
        <w:t>, such</w:t>
      </w:r>
      <w:r>
        <w:rPr>
          <w:rFonts w:ascii="Times New Roman" w:cs="Times New Roman" w:eastAsia="Times New Roman" w:hAnsi="Times New Roman"/>
          <w:sz w:val="21"/>
          <w:szCs w:val="21"/>
          <w:b w:val="1"/>
          <w:bCs w:val="1"/>
          <w:i w:val="1"/>
          <w:iCs w:val="1"/>
          <w:color w:val="auto"/>
        </w:rPr>
        <w:t xml:space="preserve"> Covered Person </w:t>
      </w:r>
      <w:r>
        <w:rPr>
          <w:rFonts w:ascii="Times New Roman" w:cs="Times New Roman" w:eastAsia="Times New Roman" w:hAnsi="Times New Roman"/>
          <w:sz w:val="21"/>
          <w:szCs w:val="21"/>
          <w:color w:val="auto"/>
        </w:rPr>
        <w:t>is precluded from making the</w:t>
      </w:r>
      <w:r>
        <w:rPr>
          <w:rFonts w:ascii="Times New Roman" w:cs="Times New Roman" w:eastAsia="Times New Roman" w:hAnsi="Times New Roman"/>
          <w:sz w:val="21"/>
          <w:szCs w:val="21"/>
          <w:b w:val="1"/>
          <w:bCs w:val="1"/>
          <w:i w:val="1"/>
          <w:iCs w:val="1"/>
          <w:color w:val="auto"/>
        </w:rPr>
        <w:t xml:space="preserve"> trade</w:t>
      </w:r>
      <w:r>
        <w:rPr>
          <w:rFonts w:ascii="Times New Roman" w:cs="Times New Roman" w:eastAsia="Times New Roman" w:hAnsi="Times New Roman"/>
          <w:sz w:val="21"/>
          <w:szCs w:val="21"/>
          <w:color w:val="auto"/>
        </w:rPr>
        <w:t>). If the transaction does not occur during the two-day period, preclearance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transaction must be re-requested.</w:t>
      </w:r>
    </w:p>
    <w:p>
      <w:pPr>
        <w:spacing w:after="0" w:line="207" w:lineRule="exact"/>
        <w:rPr>
          <w:sz w:val="20"/>
          <w:szCs w:val="20"/>
          <w:color w:val="auto"/>
        </w:rPr>
      </w:pPr>
    </w:p>
    <w:p>
      <w:pPr>
        <w:jc w:val="both"/>
        <w:ind w:firstLine="1264"/>
        <w:spacing w:after="0" w:line="257" w:lineRule="auto"/>
        <w:tabs>
          <w:tab w:leader="none" w:pos="1884"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Chief Legal Officer rejects clearance for a requested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it will advise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by responding to the pre-clearance form submitted by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The response will be logged and emailed to the </w:t>
      </w:r>
      <w:r>
        <w:rPr>
          <w:rFonts w:ascii="Times New Roman" w:cs="Times New Roman" w:eastAsia="Times New Roman" w:hAnsi="Times New Roman"/>
          <w:sz w:val="21"/>
          <w:szCs w:val="21"/>
          <w:b w:val="1"/>
          <w:bCs w:val="1"/>
          <w:i w:val="1"/>
          <w:iCs w:val="1"/>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Person </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b w:val="1"/>
          <w:bCs w:val="1"/>
          <w:i w:val="1"/>
          <w:iCs w:val="1"/>
          <w:color w:val="auto"/>
        </w:rPr>
        <w:t xml:space="preserve"> Covered Person </w:t>
      </w:r>
      <w:r>
        <w:rPr>
          <w:rFonts w:ascii="Times New Roman" w:cs="Times New Roman" w:eastAsia="Times New Roman" w:hAnsi="Times New Roman"/>
          <w:sz w:val="21"/>
          <w:szCs w:val="21"/>
          <w:color w:val="auto"/>
        </w:rPr>
        <w:t>may not be informed of the reason why the</w:t>
      </w:r>
      <w:r>
        <w:rPr>
          <w:rFonts w:ascii="Times New Roman" w:cs="Times New Roman" w:eastAsia="Times New Roman" w:hAnsi="Times New Roman"/>
          <w:sz w:val="21"/>
          <w:szCs w:val="21"/>
          <w:b w:val="1"/>
          <w:bCs w:val="1"/>
          <w:i w:val="1"/>
          <w:iCs w:val="1"/>
          <w:color w:val="auto"/>
        </w:rPr>
        <w:t xml:space="preserve"> trade </w:t>
      </w:r>
      <w:r>
        <w:rPr>
          <w:rFonts w:ascii="Times New Roman" w:cs="Times New Roman" w:eastAsia="Times New Roman" w:hAnsi="Times New Roman"/>
          <w:sz w:val="21"/>
          <w:szCs w:val="21"/>
          <w:color w:val="auto"/>
        </w:rPr>
        <w:t>cannot be made. Any</w:t>
      </w:r>
      <w:r>
        <w:rPr>
          <w:rFonts w:ascii="Times New Roman" w:cs="Times New Roman" w:eastAsia="Times New Roman" w:hAnsi="Times New Roman"/>
          <w:sz w:val="21"/>
          <w:szCs w:val="21"/>
          <w:b w:val="1"/>
          <w:bCs w:val="1"/>
          <w:i w:val="1"/>
          <w:iCs w:val="1"/>
          <w:color w:val="auto"/>
        </w:rPr>
        <w:t xml:space="preserve"> Covered Person </w:t>
      </w:r>
      <w:r>
        <w:rPr>
          <w:rFonts w:ascii="Times New Roman" w:cs="Times New Roman" w:eastAsia="Times New Roman" w:hAnsi="Times New Roman"/>
          <w:sz w:val="21"/>
          <w:szCs w:val="21"/>
          <w:color w:val="auto"/>
        </w:rPr>
        <w:t>that is made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aware of the reason for an event-specific prohibition on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should in no event disclose the reason for the prohibition to third parties, and should avoid disclosing the existence of the prohibition, if possible. Caution should be exercised when telling a broker or other person who suggested a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that the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xml:space="preserve"> cannot be effected at the time.</w:t>
      </w:r>
    </w:p>
    <w:p>
      <w:pPr>
        <w:spacing w:after="0" w:line="192" w:lineRule="exact"/>
        <w:rPr>
          <w:rFonts w:ascii="Times New Roman" w:cs="Times New Roman" w:eastAsia="Times New Roman" w:hAnsi="Times New Roman"/>
          <w:sz w:val="21"/>
          <w:szCs w:val="21"/>
          <w:color w:val="auto"/>
        </w:rPr>
      </w:pPr>
    </w:p>
    <w:p>
      <w:pPr>
        <w:ind w:firstLine="634"/>
        <w:spacing w:after="0" w:line="268" w:lineRule="auto"/>
        <w:tabs>
          <w:tab w:leader="none" w:pos="125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10b5-1 Trading Plans</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10b5-1 Plans</w:t>
      </w:r>
      <w:r>
        <w:rPr>
          <w:rFonts w:ascii="Times New Roman" w:cs="Times New Roman" w:eastAsia="Times New Roman" w:hAnsi="Times New Roman"/>
          <w:sz w:val="21"/>
          <w:szCs w:val="21"/>
          <w:color w:val="auto"/>
        </w:rPr>
        <w:t xml:space="preserve"> present an opportunity for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to establish arrangements to sell (or purchase) AMN stock without the restrictions of trading windows and blackout periods.</w:t>
      </w:r>
    </w:p>
    <w:p>
      <w:pPr>
        <w:spacing w:after="0" w:line="196" w:lineRule="exact"/>
        <w:rPr>
          <w:rFonts w:ascii="Times New Roman" w:cs="Times New Roman" w:eastAsia="Times New Roman" w:hAnsi="Times New Roman"/>
          <w:sz w:val="21"/>
          <w:szCs w:val="21"/>
          <w:color w:val="auto"/>
        </w:rPr>
      </w:pPr>
    </w:p>
    <w:p>
      <w:pPr>
        <w:ind w:firstLine="1264"/>
        <w:spacing w:after="0" w:line="336" w:lineRule="auto"/>
        <w:tabs>
          <w:tab w:leader="none" w:pos="1884"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Exemption from Trading Restrictions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xml:space="preserve"> restrictions set forth in Part I.A and Part II.A and II.B do not generally apply to transactions consummated under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that:</w:t>
      </w:r>
    </w:p>
    <w:p>
      <w:pPr>
        <w:spacing w:after="0" w:line="140" w:lineRule="exact"/>
        <w:rPr>
          <w:rFonts w:ascii="Times New Roman" w:cs="Times New Roman" w:eastAsia="Times New Roman" w:hAnsi="Times New Roman"/>
          <w:sz w:val="21"/>
          <w:szCs w:val="21"/>
          <w:color w:val="auto"/>
        </w:rPr>
      </w:pPr>
    </w:p>
    <w:p>
      <w:pPr>
        <w:ind w:firstLine="1972"/>
        <w:spacing w:after="0" w:line="346" w:lineRule="auto"/>
        <w:tabs>
          <w:tab w:leader="none" w:pos="2340" w:val="left"/>
        </w:tabs>
        <w:numPr>
          <w:ilvl w:val="2"/>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has been reviewed and approved in advance by the Chief Legal Officer outside of a blackout period prior to entering into the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w:t>
      </w:r>
    </w:p>
    <w:p>
      <w:pPr>
        <w:spacing w:after="0" w:line="125" w:lineRule="exact"/>
        <w:rPr>
          <w:rFonts w:ascii="Times New Roman" w:cs="Times New Roman" w:eastAsia="Times New Roman" w:hAnsi="Times New Roman"/>
          <w:sz w:val="21"/>
          <w:szCs w:val="21"/>
          <w:color w:val="auto"/>
        </w:rPr>
      </w:pPr>
    </w:p>
    <w:p>
      <w:pPr>
        <w:ind w:firstLine="1972"/>
        <w:spacing w:after="0" w:line="336" w:lineRule="auto"/>
        <w:tabs>
          <w:tab w:leader="none" w:pos="2343" w:val="left"/>
        </w:tabs>
        <w:numPr>
          <w:ilvl w:val="2"/>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was entered into in good faith by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outside of a blackout period and at a time when the </w:t>
      </w:r>
      <w:r>
        <w:rPr>
          <w:rFonts w:ascii="Times New Roman" w:cs="Times New Roman" w:eastAsia="Times New Roman" w:hAnsi="Times New Roman"/>
          <w:sz w:val="21"/>
          <w:szCs w:val="21"/>
          <w:b w:val="1"/>
          <w:bCs w:val="1"/>
          <w:i w:val="1"/>
          <w:iCs w:val="1"/>
          <w:color w:val="auto"/>
        </w:rPr>
        <w:t xml:space="preserve">Covered Person </w:t>
      </w:r>
      <w:r>
        <w:rPr>
          <w:rFonts w:ascii="Times New Roman" w:cs="Times New Roman" w:eastAsia="Times New Roman" w:hAnsi="Times New Roman"/>
          <w:sz w:val="21"/>
          <w:szCs w:val="21"/>
          <w:color w:val="auto"/>
        </w:rPr>
        <w:t>was not in possession of</w:t>
      </w:r>
      <w:r>
        <w:rPr>
          <w:rFonts w:ascii="Times New Roman" w:cs="Times New Roman" w:eastAsia="Times New Roman" w:hAnsi="Times New Roman"/>
          <w:sz w:val="21"/>
          <w:szCs w:val="21"/>
          <w:b w:val="1"/>
          <w:bCs w:val="1"/>
          <w:i w:val="1"/>
          <w:iCs w:val="1"/>
          <w:color w:val="auto"/>
        </w:rPr>
        <w:t xml:space="preserve"> Material Non-Public Information </w:t>
      </w:r>
      <w:r>
        <w:rPr>
          <w:rFonts w:ascii="Times New Roman" w:cs="Times New Roman" w:eastAsia="Times New Roman" w:hAnsi="Times New Roman"/>
          <w:sz w:val="21"/>
          <w:szCs w:val="21"/>
          <w:color w:val="auto"/>
        </w:rPr>
        <w:t>about the Company; and</w:t>
      </w:r>
    </w:p>
    <w:p>
      <w:pPr>
        <w:spacing w:after="0" w:line="9" w:lineRule="exact"/>
        <w:rPr>
          <w:rFonts w:ascii="Times New Roman" w:cs="Times New Roman" w:eastAsia="Times New Roman" w:hAnsi="Times New Roman"/>
          <w:sz w:val="21"/>
          <w:szCs w:val="21"/>
          <w:color w:val="auto"/>
        </w:rPr>
      </w:pPr>
    </w:p>
    <w:p>
      <w:pPr>
        <w:jc w:val="both"/>
        <w:ind w:firstLine="1972"/>
        <w:spacing w:after="0" w:line="263" w:lineRule="auto"/>
        <w:tabs>
          <w:tab w:leader="none" w:pos="2359" w:val="left"/>
        </w:tabs>
        <w:numPr>
          <w:ilvl w:val="2"/>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gives a third party the discretionary authority to execute such purchases and sales, outside the control of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so long as such third party does not possess any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about the Company, or explicitly specifies the security or securities to be purchased or sold, the number of shares, the prices and/or dates of transactions, or other formula(s) describing such transactions.</w:t>
      </w:r>
    </w:p>
    <w:p>
      <w:pPr>
        <w:spacing w:after="0" w:line="157" w:lineRule="exact"/>
        <w:rPr>
          <w:rFonts w:ascii="Times New Roman" w:cs="Times New Roman" w:eastAsia="Times New Roman" w:hAnsi="Times New Roman"/>
          <w:sz w:val="21"/>
          <w:szCs w:val="21"/>
          <w:color w:val="auto"/>
        </w:rPr>
      </w:pPr>
    </w:p>
    <w:p>
      <w:pPr>
        <w:jc w:val="both"/>
        <w:ind w:firstLine="1264"/>
        <w:spacing w:after="0" w:line="264" w:lineRule="auto"/>
        <w:tabs>
          <w:tab w:leader="none" w:pos="1713"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Cooling Off Period</w:t>
      </w:r>
      <w:r>
        <w:rPr>
          <w:rFonts w:ascii="Times New Roman" w:cs="Times New Roman" w:eastAsia="Times New Roman" w:hAnsi="Times New Roman"/>
          <w:sz w:val="21"/>
          <w:szCs w:val="21"/>
          <w:color w:val="auto"/>
        </w:rPr>
        <w:t xml:space="preserve">. The Company requires that all </w:t>
      </w:r>
      <w:r>
        <w:rPr>
          <w:rFonts w:ascii="Times New Roman" w:cs="Times New Roman" w:eastAsia="Times New Roman" w:hAnsi="Times New Roman"/>
          <w:sz w:val="21"/>
          <w:szCs w:val="21"/>
          <w:b w:val="1"/>
          <w:bCs w:val="1"/>
          <w:i w:val="1"/>
          <w:iCs w:val="1"/>
          <w:color w:val="auto"/>
        </w:rPr>
        <w:t>10b5-1 Plans</w:t>
      </w:r>
      <w:r>
        <w:rPr>
          <w:rFonts w:ascii="Times New Roman" w:cs="Times New Roman" w:eastAsia="Times New Roman" w:hAnsi="Times New Roman"/>
          <w:sz w:val="21"/>
          <w:szCs w:val="21"/>
          <w:color w:val="auto"/>
        </w:rPr>
        <w:t xml:space="preserve"> entered into by (i) a Section 16 officer or Board member contains the later of (a) a 90-day period and (b) 2 business days following the filing of the Company’s form 10-Q or form 10-K covering the fiscal quarter in which the plan was adopted or modified or (ii) any other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xml:space="preserve"> contain a 30-day period, between the effective date of the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and the first transaction to be consummated thereunder.</w:t>
      </w:r>
    </w:p>
    <w:p>
      <w:pPr>
        <w:spacing w:after="0" w:line="157" w:lineRule="exact"/>
        <w:rPr>
          <w:rFonts w:ascii="Times New Roman" w:cs="Times New Roman" w:eastAsia="Times New Roman" w:hAnsi="Times New Roman"/>
          <w:sz w:val="21"/>
          <w:szCs w:val="21"/>
          <w:color w:val="auto"/>
        </w:rPr>
      </w:pPr>
    </w:p>
    <w:p>
      <w:pPr>
        <w:jc w:val="both"/>
        <w:ind w:firstLine="1264"/>
        <w:spacing w:after="0" w:line="266" w:lineRule="auto"/>
        <w:tabs>
          <w:tab w:leader="none" w:pos="1726"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 xml:space="preserve">. Prior to entering into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any Section 16 officer or board member of the Company will provide a certification to the Chief Legal Officer certifying that such person is not in possession of any material non-public information and that the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is being entered into in good faith and not as a plan to evade federal securities laws.</w:t>
      </w:r>
    </w:p>
    <w:p>
      <w:pPr>
        <w:spacing w:after="0" w:line="154" w:lineRule="exact"/>
        <w:rPr>
          <w:rFonts w:ascii="Times New Roman" w:cs="Times New Roman" w:eastAsia="Times New Roman" w:hAnsi="Times New Roman"/>
          <w:sz w:val="21"/>
          <w:szCs w:val="21"/>
          <w:color w:val="auto"/>
        </w:rPr>
      </w:pPr>
    </w:p>
    <w:p>
      <w:pPr>
        <w:jc w:val="both"/>
        <w:ind w:firstLine="1264"/>
        <w:spacing w:after="0" w:line="272" w:lineRule="auto"/>
        <w:tabs>
          <w:tab w:leader="none" w:pos="1739"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Number of Plans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(other than the Company) may not have another outstanding (and may not subsequently enter into any additional) </w:t>
      </w:r>
      <w:r>
        <w:rPr>
          <w:rFonts w:ascii="Times New Roman" w:cs="Times New Roman" w:eastAsia="Times New Roman" w:hAnsi="Times New Roman"/>
          <w:sz w:val="21"/>
          <w:szCs w:val="21"/>
          <w:b w:val="1"/>
          <w:bCs w:val="1"/>
          <w:i w:val="1"/>
          <w:iCs w:val="1"/>
          <w:color w:val="auto"/>
        </w:rPr>
        <w:t>Rule 10b5-1</w:t>
      </w:r>
      <w:r>
        <w:rPr>
          <w:rFonts w:ascii="Times New Roman" w:cs="Times New Roman" w:eastAsia="Times New Roman" w:hAnsi="Times New Roman"/>
          <w:sz w:val="21"/>
          <w:szCs w:val="21"/>
          <w:color w:val="auto"/>
        </w:rPr>
        <w:t xml:space="preserve"> Plan for purchases or sales of securities during the same period. A </w:t>
      </w:r>
      <w:r>
        <w:rPr>
          <w:rFonts w:ascii="Times New Roman" w:cs="Times New Roman" w:eastAsia="Times New Roman" w:hAnsi="Times New Roman"/>
          <w:sz w:val="21"/>
          <w:szCs w:val="21"/>
          <w:b w:val="1"/>
          <w:bCs w:val="1"/>
          <w:i w:val="1"/>
          <w:iCs w:val="1"/>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Person </w:t>
      </w:r>
      <w:r>
        <w:rPr>
          <w:rFonts w:ascii="Times New Roman" w:cs="Times New Roman" w:eastAsia="Times New Roman" w:hAnsi="Times New Roman"/>
          <w:sz w:val="21"/>
          <w:szCs w:val="21"/>
          <w:color w:val="auto"/>
        </w:rPr>
        <w:t>may have two separate Rule</w:t>
      </w:r>
      <w:r>
        <w:rPr>
          <w:rFonts w:ascii="Times New Roman" w:cs="Times New Roman" w:eastAsia="Times New Roman" w:hAnsi="Times New Roman"/>
          <w:sz w:val="21"/>
          <w:szCs w:val="21"/>
          <w:b w:val="1"/>
          <w:bCs w:val="1"/>
          <w:i w:val="1"/>
          <w:iCs w:val="1"/>
          <w:color w:val="auto"/>
        </w:rPr>
        <w:t xml:space="preserve"> 10b5-1 </w:t>
      </w:r>
      <w:r>
        <w:rPr>
          <w:rFonts w:ascii="Times New Roman" w:cs="Times New Roman" w:eastAsia="Times New Roman" w:hAnsi="Times New Roman"/>
          <w:sz w:val="21"/>
          <w:szCs w:val="21"/>
          <w:color w:val="auto"/>
        </w:rPr>
        <w:t>Plans so long as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15989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1598930" cy="8255"/>
                    </a:xfrm>
                    <a:prstGeom prst="rect">
                      <a:avLst/>
                    </a:prstGeom>
                    <a:noFill/>
                  </pic:spPr>
                </pic:pic>
              </a:graphicData>
            </a:graphic>
          </wp:anchor>
        </w:drawing>
      </w:r>
    </w:p>
    <w:p>
      <w:pPr>
        <w:spacing w:after="0" w:line="234" w:lineRule="exact"/>
        <w:rPr>
          <w:sz w:val="20"/>
          <w:szCs w:val="20"/>
          <w:color w:val="auto"/>
        </w:rPr>
      </w:pPr>
    </w:p>
    <w:p>
      <w:pPr>
        <w:ind w:right="300" w:firstLine="5"/>
        <w:spacing w:after="0" w:line="244" w:lineRule="auto"/>
        <w:tabs>
          <w:tab w:leader="none" w:pos="100" w:val="left"/>
        </w:tabs>
        <w:numPr>
          <w:ilvl w:val="0"/>
          <w:numId w:val="1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requirements of Section C(2)(i), C(3) and C(4) will not apply to any plan existing on or prior to February 27, 2023, but will apply to any new plan or a modification or amendment of an existing plan after such date.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7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6"/>
          <w:szCs w:val="16"/>
          <w:b w:val="1"/>
          <w:bCs w:val="1"/>
          <w:color w:val="auto"/>
        </w:rPr>
        <w:t>Exhibit 19.1</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plans do not cover the same period and the later-commencing plan does not begin trading on during the cooling-off period that would have applied if the later-commencing plan was adopted on the date the earlier-commencing plan terminates, and (ii) the plans meet all other requirement set forth in this Policy. A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(other than the Company) may not have more than one </w:t>
      </w:r>
      <w:r>
        <w:rPr>
          <w:rFonts w:ascii="Times New Roman" w:cs="Times New Roman" w:eastAsia="Times New Roman" w:hAnsi="Times New Roman"/>
          <w:sz w:val="21"/>
          <w:szCs w:val="21"/>
          <w:b w:val="1"/>
          <w:bCs w:val="1"/>
          <w:i w:val="1"/>
          <w:iCs w:val="1"/>
          <w:color w:val="auto"/>
        </w:rPr>
        <w:t>Single-Trade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Plan </w:t>
      </w:r>
      <w:r>
        <w:rPr>
          <w:rFonts w:ascii="Times New Roman" w:cs="Times New Roman" w:eastAsia="Times New Roman" w:hAnsi="Times New Roman"/>
          <w:sz w:val="21"/>
          <w:szCs w:val="21"/>
          <w:color w:val="auto"/>
        </w:rPr>
        <w:t>during any 12-month period. A “Single-Trade Plan” is defined as a</w:t>
      </w:r>
      <w:r>
        <w:rPr>
          <w:rFonts w:ascii="Times New Roman" w:cs="Times New Roman" w:eastAsia="Times New Roman" w:hAnsi="Times New Roman"/>
          <w:sz w:val="21"/>
          <w:szCs w:val="21"/>
          <w:b w:val="1"/>
          <w:bCs w:val="1"/>
          <w:i w:val="1"/>
          <w:iCs w:val="1"/>
          <w:color w:val="auto"/>
        </w:rPr>
        <w:t xml:space="preserve"> 10b5-1 Plan </w:t>
      </w:r>
      <w:r>
        <w:rPr>
          <w:rFonts w:ascii="Times New Roman" w:cs="Times New Roman" w:eastAsia="Times New Roman" w:hAnsi="Times New Roman"/>
          <w:sz w:val="21"/>
          <w:szCs w:val="21"/>
          <w:color w:val="auto"/>
        </w:rPr>
        <w:t>that is designed to effect the purchase or sale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as a single transaction.</w:t>
      </w:r>
    </w:p>
    <w:p>
      <w:pPr>
        <w:spacing w:after="0" w:line="186" w:lineRule="exact"/>
        <w:rPr>
          <w:sz w:val="20"/>
          <w:szCs w:val="20"/>
          <w:color w:val="auto"/>
        </w:rPr>
      </w:pPr>
    </w:p>
    <w:p>
      <w:pPr>
        <w:jc w:val="both"/>
        <w:ind w:firstLine="1264"/>
        <w:spacing w:after="0" w:line="256" w:lineRule="auto"/>
        <w:tabs>
          <w:tab w:leader="none" w:pos="177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and Amendments to 10b5-1 Plans</w:t>
      </w:r>
      <w:r>
        <w:rPr>
          <w:rFonts w:ascii="Times New Roman" w:cs="Times New Roman" w:eastAsia="Times New Roman" w:hAnsi="Times New Roman"/>
          <w:sz w:val="21"/>
          <w:szCs w:val="21"/>
          <w:color w:val="auto"/>
        </w:rPr>
        <w:t xml:space="preserve">. Effectiveness of any termination, modification or amendment of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must be reviewed and approved in advance by the Chief Legal Officer outside of a blackout period and at a time when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was not in possession of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xml:space="preserve"> about the Company; Provided any modification or amendment to a </w:t>
      </w:r>
      <w:r>
        <w:rPr>
          <w:rFonts w:ascii="Times New Roman" w:cs="Times New Roman" w:eastAsia="Times New Roman" w:hAnsi="Times New Roman"/>
          <w:sz w:val="21"/>
          <w:szCs w:val="21"/>
          <w:b w:val="1"/>
          <w:bCs w:val="1"/>
          <w:i w:val="1"/>
          <w:iCs w:val="1"/>
          <w:color w:val="auto"/>
        </w:rPr>
        <w:t>10b5-1</w:t>
      </w:r>
      <w:r>
        <w:rPr>
          <w:rFonts w:ascii="Times New Roman" w:cs="Times New Roman" w:eastAsia="Times New Roman" w:hAnsi="Times New Roman"/>
          <w:sz w:val="21"/>
          <w:szCs w:val="21"/>
          <w:color w:val="auto"/>
        </w:rPr>
        <w:t xml:space="preserve"> plan will be deemed to be a termination of the existing plan and the adoption of a new plan for purposes of this Policy. Once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has been terminated,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should wait at least 30 days before trading outside of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Amendments to</w:t>
      </w:r>
      <w:r>
        <w:rPr>
          <w:rFonts w:ascii="Times New Roman" w:cs="Times New Roman" w:eastAsia="Times New Roman" w:hAnsi="Times New Roman"/>
          <w:sz w:val="21"/>
          <w:szCs w:val="21"/>
          <w:b w:val="1"/>
          <w:bCs w:val="1"/>
          <w:i w:val="1"/>
          <w:iCs w:val="1"/>
          <w:color w:val="auto"/>
        </w:rPr>
        <w:t xml:space="preserve"> 10b5-1 Plans </w:t>
      </w:r>
      <w:r>
        <w:rPr>
          <w:rFonts w:ascii="Times New Roman" w:cs="Times New Roman" w:eastAsia="Times New Roman" w:hAnsi="Times New Roman"/>
          <w:sz w:val="21"/>
          <w:szCs w:val="21"/>
          <w:color w:val="auto"/>
        </w:rPr>
        <w:t>must not take effect for at least 30 days after the amendments are effective.</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The initiation, modification or termination of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will be considered transactions in AMN securities, and such initiation, modification or termination is subject to all limitations and prohibitions relating to transactions in AMN securities. Compliance with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and the execution of the transactions pursuant to the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are the sole responsibility of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initiating the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not the Company or the Chief Legal Officer. All Covered Persons entering into a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must act in good faith with respect to such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634"/>
        <w:spacing w:after="0" w:line="253" w:lineRule="auto"/>
        <w:tabs>
          <w:tab w:leader="none" w:pos="1253"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16 Reporting Requirements</w:t>
      </w:r>
      <w:r>
        <w:rPr>
          <w:rFonts w:ascii="Times New Roman" w:cs="Times New Roman" w:eastAsia="Times New Roman" w:hAnsi="Times New Roman"/>
          <w:sz w:val="21"/>
          <w:szCs w:val="21"/>
          <w:color w:val="auto"/>
        </w:rPr>
        <w:t>. Section 16 of the Securities Exchange Act of 1934, as amended (the “</w:t>
      </w:r>
      <w:r>
        <w:rPr>
          <w:rFonts w:ascii="Times New Roman" w:cs="Times New Roman" w:eastAsia="Times New Roman" w:hAnsi="Times New Roman"/>
          <w:sz w:val="21"/>
          <w:szCs w:val="21"/>
          <w:b w:val="1"/>
          <w:bCs w:val="1"/>
          <w:i w:val="1"/>
          <w:iCs w:val="1"/>
          <w:color w:val="auto"/>
        </w:rPr>
        <w:t>34 Act</w:t>
      </w:r>
      <w:r>
        <w:rPr>
          <w:rFonts w:ascii="Times New Roman" w:cs="Times New Roman" w:eastAsia="Times New Roman" w:hAnsi="Times New Roman"/>
          <w:sz w:val="21"/>
          <w:szCs w:val="21"/>
          <w:color w:val="auto"/>
        </w:rPr>
        <w:t xml:space="preserve">”), generally requires all executive officers and directors of the Company to report changes in their benefical ownership of the Company’s securities on SEC Forms 4 within two business days after the date on which such change occurs. To ensure compliance with Section 16 reporting requirements, the Company’s executive officers and directors must promptly report to the Company on the day of each transaction triggering a reporting requirement to permit the Company to prepare and file a required Form 4. With respect to any purchase or sale under an approved </w:t>
      </w:r>
      <w:r>
        <w:rPr>
          <w:rFonts w:ascii="Times New Roman" w:cs="Times New Roman" w:eastAsia="Times New Roman" w:hAnsi="Times New Roman"/>
          <w:sz w:val="21"/>
          <w:szCs w:val="21"/>
          <w:b w:val="1"/>
          <w:bCs w:val="1"/>
          <w:i w:val="1"/>
          <w:iCs w:val="1"/>
          <w:color w:val="auto"/>
        </w:rPr>
        <w:t>10b5-1 Plan</w:t>
      </w:r>
      <w:r>
        <w:rPr>
          <w:rFonts w:ascii="Times New Roman" w:cs="Times New Roman" w:eastAsia="Times New Roman" w:hAnsi="Times New Roman"/>
          <w:sz w:val="21"/>
          <w:szCs w:val="21"/>
          <w:color w:val="auto"/>
        </w:rPr>
        <w:t xml:space="preserve">, the third party/broker effecting transactions on behalf of the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xml:space="preserve"> should be instructed to send duplicate confirmations of all such transactions immediately to the Corporate Counsel, Securities &amp; Corporate Governance. Such reporting should be in writing (including by e-mail) and should include the type of transaction, the date of the transaction, the number of shares involved and the purchase or sale price of the securities. While the Company prepares and files applicable Form 4s on behalf of the Company’s Section 16 reporting persons, the ultimate responsibility, and liability, for timely filing remains with the reporting person.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Roles and Responsible Parties</w:t>
      </w:r>
    </w:p>
    <w:p>
      <w:pPr>
        <w:sectPr>
          <w:pgSz w:w="11900" w:h="16838" w:orient="portrait"/>
          <w:cols w:equalWidth="0" w:num="1">
            <w:col w:w="11240"/>
          </w:cols>
          <w:pgMar w:left="320" w:top="178" w:right="339" w:bottom="1440" w:gutter="0" w:footer="0" w:header="0"/>
        </w:sectPr>
      </w:pP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Chief Legal Officer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Responsible for overall policy implementation and for preclearance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trades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31" w:lineRule="exact"/>
        <w:rPr>
          <w:sz w:val="20"/>
          <w:szCs w:val="20"/>
          <w:color w:val="auto"/>
        </w:rPr>
      </w:pPr>
    </w:p>
    <w:p>
      <w:pPr>
        <w:sectPr>
          <w:pgSz w:w="11900" w:h="16838" w:orient="portrait"/>
          <w:cols w:equalWidth="0" w:num="4">
            <w:col w:w="3000" w:space="720"/>
            <w:col w:w="6140" w:space="120"/>
            <w:col w:w="500" w:space="100"/>
            <w:col w:w="660"/>
          </w:cols>
          <w:pgMar w:left="320" w:top="178" w:right="3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Covered Persons </w:t>
      </w:r>
      <w:r>
        <w:rPr>
          <w:rFonts w:ascii="Times New Roman" w:cs="Times New Roman" w:eastAsia="Times New Roman" w:hAnsi="Times New Roman"/>
          <w:sz w:val="20"/>
          <w:szCs w:val="20"/>
          <w:color w:val="auto"/>
        </w:rPr>
        <w:t>(as defined in Part I.F above).</w:t>
      </w:r>
    </w:p>
    <w:p>
      <w:pPr>
        <w:sectPr>
          <w:pgSz w:w="11900" w:h="16838" w:orient="portrait"/>
          <w:cols w:equalWidth="0" w:num="1">
            <w:col w:w="11240"/>
          </w:cols>
          <w:pgMar w:left="320" w:top="178" w:right="339" w:bottom="1440" w:gutter="0" w:footer="0" w:header="0"/>
          <w:type w:val="continuous"/>
        </w:sectPr>
      </w:pP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Equity Administration Team</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both"/>
        <w:ind w:right="440"/>
        <w:spacing w:after="0" w:line="269" w:lineRule="auto"/>
        <w:rPr>
          <w:sz w:val="20"/>
          <w:szCs w:val="20"/>
          <w:color w:val="auto"/>
        </w:rPr>
      </w:pPr>
      <w:r>
        <w:rPr>
          <w:rFonts w:ascii="Times New Roman" w:cs="Times New Roman" w:eastAsia="Times New Roman" w:hAnsi="Times New Roman"/>
          <w:sz w:val="20"/>
          <w:szCs w:val="20"/>
          <w:color w:val="auto"/>
        </w:rPr>
        <w:t>Responsible for general administration of the policy and oversight of the Pre-Clearance Log on the Company’s Equity Administrator SharePoint site and ensuring this policy remains current.</w:t>
      </w:r>
    </w:p>
    <w:p>
      <w:pPr>
        <w:spacing w:after="0" w:line="141" w:lineRule="exact"/>
        <w:rPr>
          <w:sz w:val="20"/>
          <w:szCs w:val="20"/>
          <w:color w:val="auto"/>
        </w:rPr>
      </w:pPr>
    </w:p>
    <w:p>
      <w:pPr>
        <w:sectPr>
          <w:pgSz w:w="11900" w:h="16838" w:orient="portrait"/>
          <w:cols w:equalWidth="0" w:num="2">
            <w:col w:w="3000" w:space="720"/>
            <w:col w:w="7520"/>
          </w:cols>
          <w:pgMar w:left="320" w:top="178" w:right="339" w:bottom="1440" w:gutter="0" w:footer="0" w:header="0"/>
          <w:type w:val="continuous"/>
        </w:sectPr>
      </w:pPr>
    </w:p>
    <w:p>
      <w:pPr>
        <w:ind w:left="120" w:right="20"/>
        <w:spacing w:after="0" w:line="241" w:lineRule="auto"/>
        <w:rPr>
          <w:sz w:val="20"/>
          <w:szCs w:val="20"/>
          <w:color w:val="auto"/>
        </w:rPr>
      </w:pPr>
      <w:r>
        <w:rPr>
          <w:rFonts w:ascii="Times New Roman" w:cs="Times New Roman" w:eastAsia="Times New Roman" w:hAnsi="Times New Roman"/>
          <w:sz w:val="20"/>
          <w:szCs w:val="20"/>
          <w:b w:val="1"/>
          <w:bCs w:val="1"/>
          <w:color w:val="auto"/>
        </w:rPr>
        <w:t>Corporate Counsel, Securities &amp; Corporate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Responsible to prepare and file Form 4s as required.</w:t>
      </w:r>
    </w:p>
    <w:p>
      <w:pPr>
        <w:spacing w:after="0" w:line="329" w:lineRule="exact"/>
        <w:rPr>
          <w:sz w:val="20"/>
          <w:szCs w:val="20"/>
          <w:color w:val="auto"/>
        </w:rPr>
      </w:pPr>
    </w:p>
    <w:p>
      <w:pPr>
        <w:sectPr>
          <w:pgSz w:w="11900" w:h="16838" w:orient="portrait"/>
          <w:cols w:equalWidth="0" w:num="2">
            <w:col w:w="2940" w:space="720"/>
            <w:col w:w="7580"/>
          </w:cols>
          <w:pgMar w:left="320" w:top="178" w:right="339" w:bottom="1440" w:gutter="0" w:footer="0" w:header="0"/>
          <w:type w:val="continuous"/>
        </w:sectPr>
      </w:pPr>
    </w:p>
    <w:p>
      <w:pPr>
        <w:ind w:left="120" w:right="110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All Team Members of the Company and </w:t>
      </w:r>
      <w:r>
        <w:rPr>
          <w:rFonts w:ascii="Times New Roman" w:cs="Times New Roman" w:eastAsia="Times New Roman" w:hAnsi="Times New Roman"/>
          <w:sz w:val="20"/>
          <w:szCs w:val="20"/>
          <w:color w:val="auto"/>
        </w:rPr>
        <w:t>Responsible for strict adherence to this Securities Trading Policy and Procedure.</w:t>
      </w:r>
      <w:r>
        <w:rPr>
          <w:rFonts w:ascii="Times New Roman" w:cs="Times New Roman" w:eastAsia="Times New Roman" w:hAnsi="Times New Roman"/>
          <w:sz w:val="20"/>
          <w:szCs w:val="20"/>
          <w:b w:val="1"/>
          <w:bCs w:val="1"/>
          <w:color w:val="auto"/>
        </w:rPr>
        <w:t xml:space="preserve"> its Subsidiaries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78" w:right="339" w:bottom="1440" w:gutter="0" w:footer="0" w:header="0"/>
          <w:type w:val="continuous"/>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 of the Registrant, as of December 31, 2025</w:t>
      </w:r>
    </w:p>
    <w:p>
      <w:pPr>
        <w:sectPr>
          <w:pgSz w:w="11900" w:h="16838" w:orient="portrait"/>
          <w:cols w:equalWidth="0" w:num="1">
            <w:col w:w="11220"/>
          </w:cols>
          <w:pgMar w:left="340" w:top="36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121" w:lineRule="exact"/>
        <w:rPr>
          <w:sz w:val="20"/>
          <w:szCs w:val="20"/>
          <w:color w:val="auto"/>
        </w:rPr>
      </w:pPr>
    </w:p>
    <w:p>
      <w:pPr>
        <w:sectPr>
          <w:pgSz w:w="11900" w:h="16838" w:orient="portrait"/>
          <w:cols w:equalWidth="0" w:num="2">
            <w:col w:w="5600" w:space="720"/>
            <w:col w:w="4900"/>
          </w:cols>
          <w:pgMar w:left="340" w:top="3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Advanced Medical Personnel Services,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Allied Services,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Allied,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Interim Solutions,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Labor Disruption,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Language Services,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Locum Tenens,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Healthcare Physician Permanent Placement,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Leadership Solutions,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Services,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Staffing Services,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AMN Workforce Solutions,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B4Health,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Connetics Communications,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Medefis,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MSI Systems Corp.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Nursefinders,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O’Grady-Peyton International (USA),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ShiftWise,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Spectrum Insurance Company,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Stratus Video Costa Rica,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Nevada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Carolina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Pennsylvania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Massachusetts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Oregon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Hawaii</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Costa Rica</w:t>
      </w:r>
    </w:p>
    <w:p>
      <w:pPr>
        <w:sectPr>
          <w:pgSz w:w="11900" w:h="16838" w:orient="portrait"/>
          <w:cols w:equalWidth="0" w:num="2">
            <w:col w:w="5640" w:space="720"/>
            <w:col w:w="4860"/>
          </w:cols>
          <w:pgMar w:left="340" w:top="368" w:right="339"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8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73482,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117695,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133227,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133305,</w:t>
      </w:r>
    </w:p>
    <w:p>
      <w:pPr>
        <w:spacing w:after="0" w:line="99" w:lineRule="exact"/>
        <w:rPr>
          <w:sz w:val="20"/>
          <w:szCs w:val="20"/>
          <w:color w:val="auto"/>
        </w:rPr>
      </w:pPr>
    </w:p>
    <w:p>
      <w:pPr>
        <w:jc w:val="both"/>
        <w:ind w:right="100"/>
        <w:spacing w:after="0" w:line="236" w:lineRule="exact"/>
        <w:rPr>
          <w:sz w:val="20"/>
          <w:szCs w:val="20"/>
          <w:color w:val="auto"/>
        </w:rPr>
      </w:pPr>
      <w:r>
        <w:rPr>
          <w:rFonts w:ascii="Times New Roman" w:cs="Times New Roman" w:eastAsia="Times New Roman" w:hAnsi="Times New Roman"/>
          <w:sz w:val="17"/>
          <w:szCs w:val="17"/>
          <w:color w:val="auto"/>
        </w:rPr>
        <w:t>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142187,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158523,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180856,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180857,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194484,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217553,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273354, and No. 333-286972) on Form S-8 of our reports dated February 19, 2026, with respect to the consolidated financial statements of AMN Healthcare Services, Inc. and the effectiveness of internal control over financial reporting.</w:t>
      </w:r>
    </w:p>
    <w:p>
      <w:pPr>
        <w:spacing w:after="0" w:line="1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 KPMG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2026</w:t>
      </w:r>
    </w:p>
    <w:p>
      <w:pPr>
        <w:sectPr>
          <w:pgSz w:w="11900" w:h="16838" w:orient="portrait"/>
          <w:cols w:equalWidth="0" w:num="1">
            <w:col w:w="11240"/>
          </w:cols>
          <w:pgMar w:left="320" w:top="139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of the Securities Exchange Act of 1934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Caroline S. Grace, certify that:</w:t>
      </w:r>
    </w:p>
    <w:p>
      <w:pPr>
        <w:spacing w:after="0" w:line="144" w:lineRule="exact"/>
        <w:rPr>
          <w:sz w:val="20"/>
          <w:szCs w:val="20"/>
          <w:color w:val="auto"/>
        </w:rPr>
      </w:pPr>
    </w:p>
    <w:p>
      <w:pPr>
        <w:ind w:left="720" w:hanging="164"/>
        <w:spacing w:after="0"/>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10-K of AMN Healthcare Services, Inc.;</w:t>
      </w:r>
    </w:p>
    <w:p>
      <w:pPr>
        <w:spacing w:after="0" w:line="156" w:lineRule="exact"/>
        <w:rPr>
          <w:rFonts w:ascii="Times New Roman" w:cs="Times New Roman" w:eastAsia="Times New Roman" w:hAnsi="Times New Roman"/>
          <w:sz w:val="16"/>
          <w:szCs w:val="16"/>
          <w:color w:val="auto"/>
        </w:rPr>
      </w:pPr>
    </w:p>
    <w:p>
      <w:pPr>
        <w:ind w:left="720" w:right="80" w:hanging="164"/>
        <w:spacing w:after="0" w:line="268" w:lineRule="auto"/>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Times New Roman" w:cs="Times New Roman" w:eastAsia="Times New Roman" w:hAnsi="Times New Roman"/>
          <w:sz w:val="16"/>
          <w:szCs w:val="16"/>
          <w:color w:val="auto"/>
        </w:rPr>
      </w:pPr>
    </w:p>
    <w:p>
      <w:pPr>
        <w:ind w:left="720" w:right="80" w:hanging="164"/>
        <w:spacing w:after="0" w:line="268" w:lineRule="auto"/>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Times New Roman" w:cs="Times New Roman" w:eastAsia="Times New Roman" w:hAnsi="Times New Roman"/>
          <w:sz w:val="16"/>
          <w:szCs w:val="16"/>
          <w:color w:val="auto"/>
        </w:rPr>
      </w:pPr>
    </w:p>
    <w:p>
      <w:pPr>
        <w:ind w:left="720" w:hanging="164"/>
        <w:spacing w:after="0"/>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17"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6"/>
          <w:szCs w:val="16"/>
          <w:color w:val="auto"/>
        </w:rPr>
      </w:pPr>
    </w:p>
    <w:p>
      <w:pPr>
        <w:ind w:left="1340" w:right="20" w:hanging="155"/>
        <w:spacing w:after="0" w:line="253" w:lineRule="auto"/>
        <w:tabs>
          <w:tab w:leader="none" w:pos="1344"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6"/>
          <w:szCs w:val="16"/>
          <w:color w:val="auto"/>
        </w:rPr>
      </w:pPr>
    </w:p>
    <w:p>
      <w:pPr>
        <w:ind w:left="1340" w:right="160" w:hanging="155"/>
        <w:spacing w:after="0" w:line="262" w:lineRule="auto"/>
        <w:tabs>
          <w:tab w:leader="none" w:pos="1353"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5" w:lineRule="exact"/>
        <w:rPr>
          <w:rFonts w:ascii="Times New Roman" w:cs="Times New Roman" w:eastAsia="Times New Roman" w:hAnsi="Times New Roman"/>
          <w:sz w:val="16"/>
          <w:szCs w:val="16"/>
          <w:color w:val="auto"/>
        </w:rPr>
      </w:pPr>
    </w:p>
    <w:p>
      <w:pPr>
        <w:ind w:left="1340" w:right="140" w:hanging="155"/>
        <w:spacing w:after="0" w:line="285" w:lineRule="auto"/>
        <w:tabs>
          <w:tab w:leader="none" w:pos="1344"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Times New Roman" w:cs="Times New Roman" w:eastAsia="Times New Roman" w:hAnsi="Times New Roman"/>
          <w:sz w:val="16"/>
          <w:szCs w:val="16"/>
          <w:color w:val="auto"/>
        </w:rPr>
      </w:pPr>
    </w:p>
    <w:p>
      <w:pPr>
        <w:ind w:left="1340" w:right="80" w:hanging="155"/>
        <w:spacing w:after="0" w:line="262" w:lineRule="auto"/>
        <w:tabs>
          <w:tab w:leader="none" w:pos="1353"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720" w:right="540" w:hanging="164"/>
        <w:spacing w:after="0" w:line="268" w:lineRule="auto"/>
        <w:tabs>
          <w:tab w:leader="none" w:pos="7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3" w:lineRule="exact"/>
        <w:rPr>
          <w:rFonts w:ascii="Times New Roman" w:cs="Times New Roman" w:eastAsia="Times New Roman" w:hAnsi="Times New Roman"/>
          <w:sz w:val="16"/>
          <w:szCs w:val="16"/>
          <w:color w:val="auto"/>
        </w:rPr>
      </w:pPr>
    </w:p>
    <w:p>
      <w:pPr>
        <w:ind w:left="1340" w:right="320" w:hanging="155"/>
        <w:spacing w:after="0" w:line="268" w:lineRule="auto"/>
        <w:tabs>
          <w:tab w:leader="none" w:pos="1344"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Times New Roman" w:cs="Times New Roman" w:eastAsia="Times New Roman" w:hAnsi="Times New Roman"/>
          <w:sz w:val="16"/>
          <w:szCs w:val="16"/>
          <w:color w:val="auto"/>
        </w:rPr>
      </w:pPr>
    </w:p>
    <w:p>
      <w:pPr>
        <w:ind w:left="1340" w:right="520" w:hanging="155"/>
        <w:spacing w:after="0" w:line="268" w:lineRule="auto"/>
        <w:tabs>
          <w:tab w:leader="none" w:pos="1353"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7240"/>
        <w:spacing w:after="0"/>
        <w:tabs>
          <w:tab w:leader="none" w:pos="758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C</w:t>
      </w:r>
      <w:r>
        <w:rPr>
          <w:rFonts w:ascii="Times New Roman" w:cs="Times New Roman" w:eastAsia="Times New Roman" w:hAnsi="Times New Roman"/>
          <w:sz w:val="13"/>
          <w:szCs w:val="13"/>
          <w:color w:val="auto"/>
        </w:rPr>
        <w:t>AROLINE</w:t>
      </w:r>
      <w:r>
        <w:rPr>
          <w:rFonts w:ascii="Times New Roman" w:cs="Times New Roman" w:eastAsia="Times New Roman" w:hAnsi="Times New Roman"/>
          <w:sz w:val="17"/>
          <w:szCs w:val="17"/>
          <w:color w:val="auto"/>
        </w:rPr>
        <w:t xml:space="preserve"> S. G</w:t>
      </w:r>
      <w:r>
        <w:rPr>
          <w:rFonts w:ascii="Times New Roman" w:cs="Times New Roman" w:eastAsia="Times New Roman" w:hAnsi="Times New Roman"/>
          <w:sz w:val="13"/>
          <w:szCs w:val="13"/>
          <w:color w:val="auto"/>
        </w:rPr>
        <w:t>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29210</wp:posOffset>
            </wp:positionV>
            <wp:extent cx="3930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2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Caroline S. Grace</w:t>
      </w:r>
    </w:p>
    <w:p>
      <w:pPr>
        <w:jc w:val="center"/>
        <w:ind w:left="5040"/>
        <w:spacing w:after="0" w:line="216" w:lineRule="auto"/>
        <w:rPr>
          <w:sz w:val="20"/>
          <w:szCs w:val="20"/>
          <w:color w:val="auto"/>
        </w:rPr>
      </w:pPr>
      <w:r>
        <w:rPr>
          <w:rFonts w:ascii="Times New Roman" w:cs="Times New Roman" w:eastAsia="Times New Roman" w:hAnsi="Times New Roman"/>
          <w:sz w:val="14"/>
          <w:szCs w:val="14"/>
          <w:b w:val="1"/>
          <w:bCs w:val="1"/>
          <w:color w:val="auto"/>
        </w:rPr>
        <w:t>Director, President and Chief Executive Officer</w:t>
      </w:r>
    </w:p>
    <w:p>
      <w:pPr>
        <w:spacing w:after="0" w:line="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2026</w:t>
      </w:r>
    </w:p>
    <w:p>
      <w:pPr>
        <w:sectPr>
          <w:pgSz w:w="11900" w:h="16838" w:orient="portrait"/>
          <w:cols w:equalWidth="0" w:num="1">
            <w:col w:w="11240"/>
          </w:cols>
          <w:pgMar w:left="320" w:top="871"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 of the Securities Exchange Act of 1934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M. Scott, certify that:</w:t>
      </w:r>
    </w:p>
    <w:p>
      <w:pPr>
        <w:spacing w:after="0" w:line="144" w:lineRule="exact"/>
        <w:rPr>
          <w:sz w:val="20"/>
          <w:szCs w:val="20"/>
          <w:color w:val="auto"/>
        </w:rPr>
      </w:pPr>
    </w:p>
    <w:p>
      <w:pPr>
        <w:ind w:left="720" w:hanging="164"/>
        <w:spacing w:after="0"/>
        <w:tabs>
          <w:tab w:leader="none" w:pos="7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10-K of AMN Healthcare Services, Inc.;</w:t>
      </w:r>
    </w:p>
    <w:p>
      <w:pPr>
        <w:spacing w:after="0" w:line="156" w:lineRule="exact"/>
        <w:rPr>
          <w:rFonts w:ascii="Times New Roman" w:cs="Times New Roman" w:eastAsia="Times New Roman" w:hAnsi="Times New Roman"/>
          <w:sz w:val="16"/>
          <w:szCs w:val="16"/>
          <w:color w:val="auto"/>
        </w:rPr>
      </w:pPr>
    </w:p>
    <w:p>
      <w:pPr>
        <w:ind w:left="720" w:right="80" w:hanging="164"/>
        <w:spacing w:after="0" w:line="268" w:lineRule="auto"/>
        <w:tabs>
          <w:tab w:leader="none" w:pos="7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Times New Roman" w:cs="Times New Roman" w:eastAsia="Times New Roman" w:hAnsi="Times New Roman"/>
          <w:sz w:val="16"/>
          <w:szCs w:val="16"/>
          <w:color w:val="auto"/>
        </w:rPr>
      </w:pPr>
    </w:p>
    <w:p>
      <w:pPr>
        <w:ind w:left="720" w:right="80" w:hanging="164"/>
        <w:spacing w:after="0" w:line="268" w:lineRule="auto"/>
        <w:tabs>
          <w:tab w:leader="none" w:pos="7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Times New Roman" w:cs="Times New Roman" w:eastAsia="Times New Roman" w:hAnsi="Times New Roman"/>
          <w:sz w:val="16"/>
          <w:szCs w:val="16"/>
          <w:color w:val="auto"/>
        </w:rPr>
      </w:pPr>
    </w:p>
    <w:p>
      <w:pPr>
        <w:ind w:left="720" w:hanging="164"/>
        <w:spacing w:after="0"/>
        <w:tabs>
          <w:tab w:leader="none" w:pos="7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17"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38" w:lineRule="exact"/>
        <w:rPr>
          <w:rFonts w:ascii="Times New Roman" w:cs="Times New Roman" w:eastAsia="Times New Roman" w:hAnsi="Times New Roman"/>
          <w:sz w:val="16"/>
          <w:szCs w:val="16"/>
          <w:color w:val="auto"/>
        </w:rPr>
      </w:pPr>
    </w:p>
    <w:p>
      <w:pPr>
        <w:ind w:left="1340" w:right="20" w:hanging="155"/>
        <w:spacing w:after="0" w:line="253" w:lineRule="auto"/>
        <w:tabs>
          <w:tab w:leader="none" w:pos="1344"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6"/>
          <w:szCs w:val="16"/>
          <w:color w:val="auto"/>
        </w:rPr>
      </w:pPr>
    </w:p>
    <w:p>
      <w:pPr>
        <w:ind w:left="1340" w:right="160" w:hanging="155"/>
        <w:spacing w:after="0" w:line="262" w:lineRule="auto"/>
        <w:tabs>
          <w:tab w:leader="none" w:pos="1353"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5" w:lineRule="exact"/>
        <w:rPr>
          <w:rFonts w:ascii="Times New Roman" w:cs="Times New Roman" w:eastAsia="Times New Roman" w:hAnsi="Times New Roman"/>
          <w:sz w:val="16"/>
          <w:szCs w:val="16"/>
          <w:color w:val="auto"/>
        </w:rPr>
      </w:pPr>
    </w:p>
    <w:p>
      <w:pPr>
        <w:ind w:left="1340" w:right="140" w:hanging="155"/>
        <w:spacing w:after="0" w:line="285" w:lineRule="auto"/>
        <w:tabs>
          <w:tab w:leader="none" w:pos="1344"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Times New Roman" w:cs="Times New Roman" w:eastAsia="Times New Roman" w:hAnsi="Times New Roman"/>
          <w:sz w:val="16"/>
          <w:szCs w:val="16"/>
          <w:color w:val="auto"/>
        </w:rPr>
      </w:pPr>
    </w:p>
    <w:p>
      <w:pPr>
        <w:ind w:left="1340" w:right="80" w:hanging="155"/>
        <w:spacing w:after="0" w:line="262" w:lineRule="auto"/>
        <w:tabs>
          <w:tab w:leader="none" w:pos="1353"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720" w:right="540" w:hanging="164"/>
        <w:spacing w:after="0" w:line="268" w:lineRule="auto"/>
        <w:tabs>
          <w:tab w:leader="none" w:pos="7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3" w:lineRule="exact"/>
        <w:rPr>
          <w:rFonts w:ascii="Times New Roman" w:cs="Times New Roman" w:eastAsia="Times New Roman" w:hAnsi="Times New Roman"/>
          <w:sz w:val="16"/>
          <w:szCs w:val="16"/>
          <w:color w:val="auto"/>
        </w:rPr>
      </w:pPr>
    </w:p>
    <w:p>
      <w:pPr>
        <w:ind w:left="1340" w:right="320" w:hanging="155"/>
        <w:spacing w:after="0" w:line="268" w:lineRule="auto"/>
        <w:tabs>
          <w:tab w:leader="none" w:pos="1344"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Times New Roman" w:cs="Times New Roman" w:eastAsia="Times New Roman" w:hAnsi="Times New Roman"/>
          <w:sz w:val="16"/>
          <w:szCs w:val="16"/>
          <w:color w:val="auto"/>
        </w:rPr>
      </w:pPr>
    </w:p>
    <w:p>
      <w:pPr>
        <w:ind w:left="1340" w:right="520" w:hanging="155"/>
        <w:spacing w:after="0" w:line="268" w:lineRule="auto"/>
        <w:tabs>
          <w:tab w:leader="none" w:pos="1353"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7380"/>
        <w:spacing w:after="0"/>
        <w:tabs>
          <w:tab w:leader="none" w:pos="77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B</w:t>
      </w:r>
      <w:r>
        <w:rPr>
          <w:rFonts w:ascii="Times New Roman" w:cs="Times New Roman" w:eastAsia="Times New Roman" w:hAnsi="Times New Roman"/>
          <w:sz w:val="13"/>
          <w:szCs w:val="13"/>
          <w:color w:val="auto"/>
        </w:rPr>
        <w:t>RIAN</w:t>
      </w:r>
      <w:r>
        <w:rPr>
          <w:rFonts w:ascii="Times New Roman" w:cs="Times New Roman" w:eastAsia="Times New Roman" w:hAnsi="Times New Roman"/>
          <w:sz w:val="17"/>
          <w:szCs w:val="17"/>
          <w:color w:val="auto"/>
        </w:rPr>
        <w:t xml:space="preserve"> M. S</w:t>
      </w:r>
      <w:r>
        <w:rPr>
          <w:rFonts w:ascii="Times New Roman" w:cs="Times New Roman" w:eastAsia="Times New Roman" w:hAnsi="Times New Roman"/>
          <w:sz w:val="13"/>
          <w:szCs w:val="13"/>
          <w:color w:val="auto"/>
        </w:rPr>
        <w: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29210</wp:posOffset>
            </wp:positionV>
            <wp:extent cx="39306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2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Brian M. Scott</w:t>
      </w:r>
    </w:p>
    <w:p>
      <w:pPr>
        <w:jc w:val="center"/>
        <w:ind w:left="5040"/>
        <w:spacing w:after="0" w:line="216" w:lineRule="auto"/>
        <w:rPr>
          <w:sz w:val="20"/>
          <w:szCs w:val="20"/>
          <w:color w:val="auto"/>
        </w:rPr>
      </w:pPr>
      <w:r>
        <w:rPr>
          <w:rFonts w:ascii="Times New Roman" w:cs="Times New Roman" w:eastAsia="Times New Roman" w:hAnsi="Times New Roman"/>
          <w:sz w:val="14"/>
          <w:szCs w:val="14"/>
          <w:b w:val="1"/>
          <w:bCs w:val="1"/>
          <w:color w:val="auto"/>
        </w:rPr>
        <w:t>Chief Financial Officer and Chief Operating Officer</w:t>
      </w:r>
    </w:p>
    <w:p>
      <w:pPr>
        <w:spacing w:after="0" w:line="1"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2026</w:t>
      </w:r>
    </w:p>
    <w:p>
      <w:pPr>
        <w:sectPr>
          <w:pgSz w:w="11900" w:h="16838" w:orient="portrait"/>
          <w:cols w:equalWidth="0" w:num="1">
            <w:col w:w="11240"/>
          </w:cols>
          <w:pgMar w:left="320" w:top="871"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AMN Healthcare Services, Inc.</w:t>
      </w:r>
    </w:p>
    <w:p>
      <w:pPr>
        <w:spacing w:after="0" w:line="1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39" w:lineRule="exact"/>
        <w:rPr>
          <w:sz w:val="20"/>
          <w:szCs w:val="20"/>
          <w:color w:val="auto"/>
        </w:rPr>
      </w:pPr>
    </w:p>
    <w:p>
      <w:pPr>
        <w:ind w:right="340" w:firstLine="629"/>
        <w:spacing w:after="0" w:line="253" w:lineRule="auto"/>
        <w:rPr>
          <w:sz w:val="20"/>
          <w:szCs w:val="20"/>
          <w:color w:val="auto"/>
        </w:rPr>
      </w:pPr>
      <w:r>
        <w:rPr>
          <w:rFonts w:ascii="Times New Roman" w:cs="Times New Roman" w:eastAsia="Times New Roman" w:hAnsi="Times New Roman"/>
          <w:sz w:val="16"/>
          <w:szCs w:val="16"/>
          <w:color w:val="auto"/>
        </w:rPr>
        <w:t>In connection with the Annual Report of AMN Healthcare Services, Inc. (the “Company”) on Form 10-K for the period ended December 31, 2025 as filed with the Securities and Exchange Commission on the date hereof (the “Report”), I, Caroline S. Grace, President and Chief Executive Officer of the Company, certify, pursuant to 18 U.S.C. Section 1350, as adopted pursuant to Section 906 of the Sarbanes-Oxley Act of 2002, that:</w:t>
      </w:r>
    </w:p>
    <w:p>
      <w:pPr>
        <w:spacing w:after="0" w:line="126" w:lineRule="exact"/>
        <w:rPr>
          <w:sz w:val="20"/>
          <w:szCs w:val="20"/>
          <w:color w:val="auto"/>
        </w:rPr>
      </w:pPr>
    </w:p>
    <w:p>
      <w:pPr>
        <w:ind w:left="1400" w:hanging="215"/>
        <w:spacing w:after="0"/>
        <w:tabs>
          <w:tab w:leader="none" w:pos="1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43" w:lineRule="exact"/>
        <w:rPr>
          <w:rFonts w:ascii="Times New Roman" w:cs="Times New Roman" w:eastAsia="Times New Roman" w:hAnsi="Times New Roman"/>
          <w:sz w:val="16"/>
          <w:szCs w:val="16"/>
          <w:color w:val="auto"/>
        </w:rPr>
      </w:pPr>
    </w:p>
    <w:p>
      <w:pPr>
        <w:ind w:left="1400" w:hanging="215"/>
        <w:spacing w:after="0"/>
        <w:tabs>
          <w:tab w:leader="none" w:pos="14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ind w:left="7240"/>
        <w:spacing w:after="0"/>
        <w:tabs>
          <w:tab w:leader="none" w:pos="758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C</w:t>
      </w:r>
      <w:r>
        <w:rPr>
          <w:rFonts w:ascii="Times New Roman" w:cs="Times New Roman" w:eastAsia="Times New Roman" w:hAnsi="Times New Roman"/>
          <w:sz w:val="13"/>
          <w:szCs w:val="13"/>
          <w:color w:val="auto"/>
        </w:rPr>
        <w:t>AROLINE</w:t>
      </w:r>
      <w:r>
        <w:rPr>
          <w:rFonts w:ascii="Times New Roman" w:cs="Times New Roman" w:eastAsia="Times New Roman" w:hAnsi="Times New Roman"/>
          <w:sz w:val="17"/>
          <w:szCs w:val="17"/>
          <w:color w:val="auto"/>
        </w:rPr>
        <w:t xml:space="preserve"> S. G</w:t>
      </w:r>
      <w:r>
        <w:rPr>
          <w:rFonts w:ascii="Times New Roman" w:cs="Times New Roman" w:eastAsia="Times New Roman" w:hAnsi="Times New Roman"/>
          <w:sz w:val="13"/>
          <w:szCs w:val="13"/>
          <w:color w:val="auto"/>
        </w:rPr>
        <w:t>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29210</wp:posOffset>
            </wp:positionV>
            <wp:extent cx="39306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2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Caroline S. Grace</w:t>
      </w:r>
    </w:p>
    <w:p>
      <w:pPr>
        <w:spacing w:after="0" w:line="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2026</w:t>
      </w:r>
    </w:p>
    <w:p>
      <w:pPr>
        <w:sectPr>
          <w:pgSz w:w="11900" w:h="16838" w:orient="portrait"/>
          <w:cols w:equalWidth="0" w:num="1">
            <w:col w:w="11240"/>
          </w:cols>
          <w:pgMar w:left="320" w:top="871"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AMN Healthcare Services, Inc.</w:t>
      </w:r>
    </w:p>
    <w:p>
      <w:pPr>
        <w:spacing w:after="0" w:line="1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39"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16"/>
          <w:szCs w:val="16"/>
          <w:color w:val="auto"/>
        </w:rPr>
        <w:t>In connection with the Annual Report of AMN Healthcare Services, Inc. (the “Company”) on Form 10-K for the period ended December 31, 2025 as filed with the Securities and Exchange Commission on the date hereof (the “Report”), I, Brian M. Scott, Chief Financial Officer and Chief Operating Officer of the Company, certify, pursuant to 18 U.S.C. Section 1350, as adopted pursuant to Section 906 of the Sarbanes-Oxley Act of 2002, that:</w:t>
      </w:r>
    </w:p>
    <w:p>
      <w:pPr>
        <w:spacing w:after="0" w:line="126" w:lineRule="exact"/>
        <w:rPr>
          <w:sz w:val="20"/>
          <w:szCs w:val="20"/>
          <w:color w:val="auto"/>
        </w:rPr>
      </w:pPr>
    </w:p>
    <w:p>
      <w:pPr>
        <w:ind w:left="1400" w:hanging="215"/>
        <w:spacing w:after="0"/>
        <w:tabs>
          <w:tab w:leader="none" w:pos="14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43" w:lineRule="exact"/>
        <w:rPr>
          <w:rFonts w:ascii="Times New Roman" w:cs="Times New Roman" w:eastAsia="Times New Roman" w:hAnsi="Times New Roman"/>
          <w:sz w:val="16"/>
          <w:szCs w:val="16"/>
          <w:color w:val="auto"/>
        </w:rPr>
      </w:pPr>
    </w:p>
    <w:p>
      <w:pPr>
        <w:ind w:left="1400" w:hanging="215"/>
        <w:spacing w:after="0"/>
        <w:tabs>
          <w:tab w:leader="none" w:pos="14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7380"/>
        <w:spacing w:after="0"/>
        <w:tabs>
          <w:tab w:leader="none" w:pos="7700" w:val="left"/>
        </w:tabs>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w:t>
        <w:tab/>
        <w:t>B</w:t>
      </w:r>
      <w:r>
        <w:rPr>
          <w:rFonts w:ascii="Times New Roman" w:cs="Times New Roman" w:eastAsia="Times New Roman" w:hAnsi="Times New Roman"/>
          <w:sz w:val="13"/>
          <w:szCs w:val="13"/>
          <w:color w:val="auto"/>
        </w:rPr>
        <w:t>RIAN</w:t>
      </w:r>
      <w:r>
        <w:rPr>
          <w:rFonts w:ascii="Times New Roman" w:cs="Times New Roman" w:eastAsia="Times New Roman" w:hAnsi="Times New Roman"/>
          <w:sz w:val="17"/>
          <w:szCs w:val="17"/>
          <w:color w:val="auto"/>
        </w:rPr>
        <w:t xml:space="preserve"> M. S</w:t>
      </w:r>
      <w:r>
        <w:rPr>
          <w:rFonts w:ascii="Times New Roman" w:cs="Times New Roman" w:eastAsia="Times New Roman" w:hAnsi="Times New Roman"/>
          <w:sz w:val="13"/>
          <w:szCs w:val="13"/>
          <w:color w:val="auto"/>
        </w:rPr>
        <w: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29210</wp:posOffset>
            </wp:positionV>
            <wp:extent cx="39306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3930650" cy="8255"/>
                    </a:xfrm>
                    <a:prstGeom prst="rect">
                      <a:avLst/>
                    </a:prstGeom>
                    <a:noFill/>
                  </pic:spPr>
                </pic:pic>
              </a:graphicData>
            </a:graphic>
          </wp:anchor>
        </w:drawing>
      </w:r>
    </w:p>
    <w:p>
      <w:pPr>
        <w:spacing w:after="0" w:line="28"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Brian M. Scott</w:t>
      </w:r>
    </w:p>
    <w:p>
      <w:pPr>
        <w:spacing w:after="0" w:line="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Chief Financial Officer and Chief Operating Officer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19, 2026</w:t>
      </w:r>
    </w:p>
    <w:p>
      <w:pPr>
        <w:sectPr>
          <w:pgSz w:w="11900" w:h="16838" w:orient="portrait"/>
          <w:cols w:equalWidth="0" w:num="1">
            <w:col w:w="11240"/>
          </w:cols>
          <w:pgMar w:left="320" w:top="87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AMN HEALTHCARE SERVICES,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Recoupment Policy</w:t>
      </w:r>
    </w:p>
    <w:p>
      <w:pPr>
        <w:spacing w:after="0" w:line="200" w:lineRule="exact"/>
        <w:rPr>
          <w:sz w:val="20"/>
          <w:szCs w:val="20"/>
          <w:color w:val="auto"/>
        </w:rPr>
      </w:pPr>
    </w:p>
    <w:p>
      <w:pPr>
        <w:spacing w:after="0" w:line="3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 accordance with the applicable rules of The New York Stock Exchange (the “</w:t>
      </w:r>
      <w:r>
        <w:rPr>
          <w:rFonts w:ascii="Arial" w:cs="Arial" w:eastAsia="Arial" w:hAnsi="Arial"/>
          <w:sz w:val="17"/>
          <w:szCs w:val="17"/>
          <w:b w:val="1"/>
          <w:bCs w:val="1"/>
          <w:i w:val="1"/>
          <w:iCs w:val="1"/>
          <w:color w:val="auto"/>
        </w:rPr>
        <w:t>NYSE Rules</w:t>
      </w:r>
      <w:r>
        <w:rPr>
          <w:rFonts w:ascii="Arial" w:cs="Arial" w:eastAsia="Arial" w:hAnsi="Arial"/>
          <w:sz w:val="17"/>
          <w:szCs w:val="17"/>
          <w:color w:val="auto"/>
        </w:rPr>
        <w:t>”) and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AMN Healthcare Services,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this Policy to provide for the recovery of awarded Incentive-Based Compensation, as well as certain Additional Compensation, from Executive Officers under certain circumstances as set forth herein. All capitalized terms used in this Policy and not otherwise defined have the meanings set forth in Section 5 below.</w:t>
      </w:r>
    </w:p>
    <w:p>
      <w:pPr>
        <w:spacing w:after="0" w:line="280"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w:t>
        <w:tab/>
        <w:t>RECOUPMENT OF INCENTIVE-BASED COMPENSATION</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7"/>
          <w:szCs w:val="17"/>
          <w:color w:val="auto"/>
        </w:rPr>
        <w:t>In the event of an Accounting Restatement, the Company will reasonably promptly recover the Erroneously Awarded Compensation that a current or former Executive Officer Received as follows:</w:t>
      </w:r>
    </w:p>
    <w:p>
      <w:pPr>
        <w:spacing w:after="0" w:line="23" w:lineRule="exact"/>
        <w:rPr>
          <w:sz w:val="20"/>
          <w:szCs w:val="20"/>
          <w:color w:val="auto"/>
        </w:rPr>
      </w:pPr>
    </w:p>
    <w:p>
      <w:pPr>
        <w:jc w:val="both"/>
        <w:ind w:left="640" w:hanging="320"/>
        <w:spacing w:after="0" w:line="272" w:lineRule="auto"/>
        <w:tabs>
          <w:tab w:leader="none" w:pos="63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After an Accounting Restatement, the Talent and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shall determine the amount of any Erroneously Awarded Compensation Received by each Executive Officer and shall promptly notify each Executive Officer of the amount of any Erroneously Awarded Compensation and request repayment or return of such compensation, as applicable. For Incentive-based Compensation based on (or derived from) the Company’s stock price or total shareholder return, where the amount of Erroneously Awarded Compensation is not subject to mathematical recalculation directly from the information in the applicable Accounting Restatement, the amount to be repaid or returned will be determined by the Committee based on a reasonable estimate of the effect of the Accounting Restatement on the Company’s stock price or total shareholder return upon which the Incentive-based Compensation was Received. The Company will maintain documentation of the determination of such reasonable estimate and provide the relevant documentation as required to the NYSE.</w:t>
      </w:r>
    </w:p>
    <w:p>
      <w:pPr>
        <w:spacing w:after="0" w:line="196" w:lineRule="exact"/>
        <w:rPr>
          <w:rFonts w:ascii="Arial" w:cs="Arial" w:eastAsia="Arial" w:hAnsi="Arial"/>
          <w:sz w:val="17"/>
          <w:szCs w:val="17"/>
          <w:color w:val="auto"/>
        </w:rPr>
      </w:pPr>
    </w:p>
    <w:p>
      <w:pPr>
        <w:jc w:val="both"/>
        <w:ind w:left="640" w:hanging="320"/>
        <w:spacing w:after="0" w:line="280" w:lineRule="auto"/>
        <w:tabs>
          <w:tab w:leader="none" w:pos="63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In addition to Section 1.A. above, if the Company is required to prepare an Accounting Restatement due to material noncompliance with any financial reporting requirement under the securities laws caused by misconduct, the Company can seek recoupment of any profits realized by an Executive Officer from the sale of securities of the Company during the 12-month period following the first public issuance or filing with the SEC (whichever comes first) of the financial document embodying such defective financial statement, as well as any other amounts required by the Exchange Act.</w:t>
      </w:r>
    </w:p>
    <w:p>
      <w:pPr>
        <w:spacing w:after="0" w:line="197" w:lineRule="exact"/>
        <w:rPr>
          <w:rFonts w:ascii="Arial" w:cs="Arial" w:eastAsia="Arial" w:hAnsi="Arial"/>
          <w:sz w:val="17"/>
          <w:szCs w:val="17"/>
          <w:color w:val="auto"/>
        </w:rPr>
      </w:pPr>
    </w:p>
    <w:p>
      <w:pPr>
        <w:jc w:val="both"/>
        <w:ind w:left="640" w:hanging="320"/>
        <w:spacing w:after="0" w:line="286" w:lineRule="auto"/>
        <w:tabs>
          <w:tab w:leader="none" w:pos="63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Committee will determine the appropriate means of recovering Erroneously Awarded Compensation based on the particular facts and circumstances. However, except as set forth below, in no event will the Company accept an amount that is less than the amount of Erroneously Awarded Compensation in satisfaction of an Executive Officer’s obligations under this Policy.</w:t>
      </w:r>
    </w:p>
    <w:p>
      <w:pPr>
        <w:spacing w:after="0" w:line="192" w:lineRule="exact"/>
        <w:rPr>
          <w:rFonts w:ascii="Arial" w:cs="Arial" w:eastAsia="Arial" w:hAnsi="Arial"/>
          <w:sz w:val="17"/>
          <w:szCs w:val="17"/>
          <w:color w:val="auto"/>
        </w:rPr>
      </w:pPr>
    </w:p>
    <w:p>
      <w:pPr>
        <w:jc w:val="both"/>
        <w:ind w:left="640" w:hanging="320"/>
        <w:spacing w:after="0" w:line="286" w:lineRule="auto"/>
        <w:tabs>
          <w:tab w:leader="none" w:pos="63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the extent an Executive Officer has already reimbursed the Company for any Erroneously Awarded Compensation Received under any duplicative recovery obligations established by the Company or applicable law, such reimbursed amount will be credited to the amount of Erroneously Awarded Compensation that is subject to recovery under this Policy.</w:t>
      </w:r>
    </w:p>
    <w:p>
      <w:pPr>
        <w:spacing w:after="0" w:line="192" w:lineRule="exact"/>
        <w:rPr>
          <w:rFonts w:ascii="Arial" w:cs="Arial" w:eastAsia="Arial" w:hAnsi="Arial"/>
          <w:sz w:val="17"/>
          <w:szCs w:val="17"/>
          <w:color w:val="auto"/>
        </w:rPr>
      </w:pPr>
    </w:p>
    <w:p>
      <w:pPr>
        <w:jc w:val="both"/>
        <w:ind w:left="640" w:hanging="320"/>
        <w:spacing w:after="0" w:line="286" w:lineRule="auto"/>
        <w:tabs>
          <w:tab w:leader="none" w:pos="63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the extent that an Executive Officer fails to repay all Erroneously Awarded Compensation to the Company, the applicable Executive Officer shall be required to reimburse the Company for any and all expenses reasonably incurred (including legal fees) by the Company in recovering such Erroneously Awarded Compensation.</w:t>
      </w:r>
    </w:p>
    <w:p>
      <w:pPr>
        <w:spacing w:after="0" w:line="101" w:lineRule="exact"/>
        <w:rPr>
          <w:sz w:val="20"/>
          <w:szCs w:val="20"/>
          <w:color w:val="auto"/>
        </w:rPr>
      </w:pPr>
    </w:p>
    <w:p>
      <w:pPr>
        <w:spacing w:after="0" w:line="332" w:lineRule="auto"/>
        <w:rPr>
          <w:sz w:val="20"/>
          <w:szCs w:val="20"/>
          <w:color w:val="auto"/>
        </w:rPr>
      </w:pPr>
      <w:r>
        <w:rPr>
          <w:rFonts w:ascii="Arial" w:cs="Arial" w:eastAsia="Arial" w:hAnsi="Arial"/>
          <w:sz w:val="17"/>
          <w:szCs w:val="17"/>
          <w:color w:val="auto"/>
        </w:rPr>
        <w:t>Notwithstanding anything herein to the contrary, the Company is not required to take the actions contemplated above if the Committee determines that recovery would be impracticable and any of the following conditions are met:</w:t>
      </w:r>
    </w:p>
    <w:p>
      <w:pPr>
        <w:spacing w:after="0" w:line="23" w:lineRule="exact"/>
        <w:rPr>
          <w:sz w:val="20"/>
          <w:szCs w:val="20"/>
          <w:color w:val="auto"/>
        </w:rPr>
      </w:pPr>
    </w:p>
    <w:p>
      <w:pPr>
        <w:jc w:val="both"/>
        <w:ind w:left="640" w:hanging="320"/>
        <w:spacing w:after="0" w:line="286" w:lineRule="auto"/>
        <w:tabs>
          <w:tab w:leader="none" w:pos="63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After making a reasonable attempt(s) to recover the Erroneously Awarded Compensation, documenting such attempt(s), and providing such documentation the NYSE, the Committee determines that the direct expenses paid to a third party to assist in enforcing the Policy would exceed the amount to be recovered; or</w:t>
      </w:r>
    </w:p>
    <w:p>
      <w:pPr>
        <w:sectPr>
          <w:pgSz w:w="11900" w:h="16838" w:orient="portrait"/>
          <w:cols w:equalWidth="0" w:num="1">
            <w:col w:w="11240"/>
          </w:cols>
          <w:pgMar w:left="320" w:top="114"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640" w:hanging="320"/>
        <w:spacing w:after="0" w:line="286" w:lineRule="auto"/>
        <w:tabs>
          <w:tab w:leader="none" w:pos="634" w:val="left"/>
        </w:tabs>
        <w:numPr>
          <w:ilvl w:val="1"/>
          <w:numId w:val="172"/>
        </w:numPr>
        <w:rPr>
          <w:rFonts w:ascii="Arial" w:cs="Arial" w:eastAsia="Arial" w:hAnsi="Arial"/>
          <w:sz w:val="17"/>
          <w:szCs w:val="17"/>
          <w:color w:val="auto"/>
        </w:rPr>
      </w:pPr>
      <w:r>
        <w:rPr>
          <w:rFonts w:ascii="Arial" w:cs="Arial" w:eastAsia="Arial" w:hAnsi="Arial"/>
          <w:sz w:val="17"/>
          <w:szCs w:val="17"/>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77" w:lineRule="exact"/>
        <w:rPr>
          <w:rFonts w:ascii="Arial" w:cs="Arial" w:eastAsia="Arial" w:hAnsi="Arial"/>
          <w:sz w:val="17"/>
          <w:szCs w:val="17"/>
          <w:color w:val="auto"/>
        </w:rPr>
      </w:pPr>
    </w:p>
    <w:p>
      <w:pPr>
        <w:ind w:left="320" w:hanging="315"/>
        <w:spacing w:after="0"/>
        <w:tabs>
          <w:tab w:leader="none" w:pos="320"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DISCRETIONARY RECOUPMENT OF ADDITIONAL COMPENSATION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addition to the provisions set forth in Part 1.A-E above, in the event that the Committee concludes that an Executive Officer engaged in fraud, embezzlement, or intentional breach of Company policy that is materially detrimental to the Company, as determined by the Committee in its sole discretion, the Committee may, in its sole discretion, request repayment or return of Incentive-based Compensation, as well as Additional Compensation from that Executive Officer. The Committee shall have the discretion to determine the amount of Incentive-based Compensation and/or Additional Compensation to be recovered as well as the manner, method and timing of such recovery.</w:t>
      </w:r>
    </w:p>
    <w:p>
      <w:pPr>
        <w:spacing w:after="0" w:line="65" w:lineRule="exact"/>
        <w:rPr>
          <w:sz w:val="20"/>
          <w:szCs w:val="20"/>
          <w:color w:val="auto"/>
        </w:rPr>
      </w:pPr>
    </w:p>
    <w:p>
      <w:pPr>
        <w:ind w:left="340" w:hanging="335"/>
        <w:spacing w:after="0"/>
        <w:tabs>
          <w:tab w:leader="none" w:pos="340" w:val="left"/>
        </w:tabs>
        <w:numPr>
          <w:ilvl w:val="0"/>
          <w:numId w:val="174"/>
        </w:numPr>
        <w:rPr>
          <w:rFonts w:ascii="Arial" w:cs="Arial" w:eastAsia="Arial" w:hAnsi="Arial"/>
          <w:sz w:val="19"/>
          <w:szCs w:val="19"/>
          <w:b w:val="1"/>
          <w:bCs w:val="1"/>
          <w:color w:val="auto"/>
        </w:rPr>
      </w:pPr>
      <w:r>
        <w:rPr>
          <w:rFonts w:ascii="Arial" w:cs="Arial" w:eastAsia="Arial" w:hAnsi="Arial"/>
          <w:sz w:val="17"/>
          <w:szCs w:val="17"/>
          <w:b w:val="1"/>
          <w:bCs w:val="1"/>
          <w:color w:val="auto"/>
        </w:rPr>
        <w:t>PROHIBITION OF INDEMNIFICATION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will not insure or indemnify any Executive Officer against (i) the loss of any Erroneously Awarded Compensation or Additional Compensation that is repaid, returned or recovered pursuant to the terms of this Policy, or (ii) any claims relating to the Company’s enforcement of its rights under this Policy. Further, the Company will not enter into any agreement that exempts any Incentive-based Compensation or Additional Compensation that is granted, paid or awarded to an Executive Officer from the application of this Policy or that waives the Company’s right to recovery of any Erroneously Awarded Compensation or Additional Compensation, and this Policy will supersede any such agreement.</w:t>
      </w:r>
    </w:p>
    <w:p>
      <w:pPr>
        <w:spacing w:after="0" w:line="38"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w:t>
        <w:tab/>
        <w:t>ADMINISTRATION</w:t>
      </w:r>
    </w:p>
    <w:p>
      <w:pPr>
        <w:spacing w:after="0" w:line="187"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This Policy shall be interpreted and administered by the Committee, and any determinations made by the Committee shall be final and binding on all affected individuals. The Board may amend this Policy from time to time in its discretion.</w:t>
      </w:r>
    </w:p>
    <w:p>
      <w:pPr>
        <w:spacing w:after="0" w:line="4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This Policy shall be binding and enforceable against all Executive Officers and, to the extent required by applicable law or guidance from the SEC or NYSE, their beneficiaries, heirs, executors, administrators or other legal representatives. Any right of recovery under this Policy is in addition to, and not in lieu of, any other remedies or rights of recovery that may be available to the Company.</w:t>
      </w:r>
    </w:p>
    <w:p>
      <w:pPr>
        <w:spacing w:after="0" w:line="4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5)</w:t>
        <w:tab/>
        <w:t>DEFINITIONS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Policy, the capitalized terms shall have the following meanings:</w:t>
      </w:r>
    </w:p>
    <w:p>
      <w:pPr>
        <w:spacing w:after="0" w:line="119" w:lineRule="exact"/>
        <w:rPr>
          <w:sz w:val="20"/>
          <w:szCs w:val="20"/>
          <w:color w:val="auto"/>
        </w:rPr>
      </w:pPr>
    </w:p>
    <w:p>
      <w:pPr>
        <w:jc w:val="both"/>
        <w:ind w:left="640" w:hanging="320"/>
        <w:spacing w:after="0" w:line="271" w:lineRule="auto"/>
        <w:tabs>
          <w:tab w:leader="none" w:pos="634"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“Accounting Restatement” </w:t>
      </w:r>
      <w:r>
        <w:rPr>
          <w:rFonts w:ascii="Arial" w:cs="Arial" w:eastAsia="Arial" w:hAnsi="Arial"/>
          <w:sz w:val="17"/>
          <w:szCs w:val="17"/>
          <w:color w:val="auto"/>
        </w:rPr>
        <w:t>means an accounting restatement due to the material noncompliance of the Company with any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 w:lineRule="exact"/>
        <w:rPr>
          <w:rFonts w:ascii="Arial" w:cs="Arial" w:eastAsia="Arial" w:hAnsi="Arial"/>
          <w:sz w:val="17"/>
          <w:szCs w:val="17"/>
          <w:color w:val="auto"/>
        </w:rPr>
      </w:pPr>
    </w:p>
    <w:p>
      <w:pPr>
        <w:jc w:val="both"/>
        <w:ind w:left="640" w:hanging="320"/>
        <w:spacing w:after="0" w:line="296" w:lineRule="auto"/>
        <w:tabs>
          <w:tab w:leader="none" w:pos="634"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“Additional Compensation” </w:t>
      </w:r>
      <w:r>
        <w:rPr>
          <w:rFonts w:ascii="Arial" w:cs="Arial" w:eastAsia="Arial" w:hAnsi="Arial"/>
          <w:sz w:val="17"/>
          <w:szCs w:val="17"/>
          <w:color w:val="auto"/>
        </w:rPr>
        <w:t>means (i) the portion of an annual bonus, if any, that is not based upon the attainment of a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Measure and (ii) equity compensation awards that do not contain vesting terms based on the attainment of a Financial Reporting Measure.</w:t>
      </w:r>
    </w:p>
    <w:p>
      <w:pPr>
        <w:spacing w:after="0" w:line="192" w:lineRule="exact"/>
        <w:rPr>
          <w:rFonts w:ascii="Arial" w:cs="Arial" w:eastAsia="Arial" w:hAnsi="Arial"/>
          <w:sz w:val="17"/>
          <w:szCs w:val="17"/>
          <w:color w:val="auto"/>
        </w:rPr>
      </w:pPr>
    </w:p>
    <w:p>
      <w:pPr>
        <w:jc w:val="both"/>
        <w:ind w:left="640" w:hanging="320"/>
        <w:spacing w:after="0" w:line="271" w:lineRule="auto"/>
        <w:tabs>
          <w:tab w:leader="none" w:pos="675" w:val="left"/>
        </w:tabs>
        <w:numPr>
          <w:ilvl w:val="0"/>
          <w:numId w:val="175"/>
        </w:numPr>
        <w:rPr>
          <w:rFonts w:ascii="Arial" w:cs="Arial" w:eastAsia="Arial" w:hAnsi="Arial"/>
          <w:sz w:val="19"/>
          <w:szCs w:val="19"/>
          <w:color w:val="auto"/>
        </w:rPr>
      </w:pPr>
      <w:r>
        <w:rPr>
          <w:rFonts w:ascii="Arial" w:cs="Arial" w:eastAsia="Arial" w:hAnsi="Arial"/>
          <w:sz w:val="17"/>
          <w:szCs w:val="17"/>
          <w:b w:val="1"/>
          <w:bCs w:val="1"/>
          <w:i w:val="1"/>
          <w:iCs w:val="1"/>
          <w:color w:val="auto"/>
        </w:rPr>
        <w:t xml:space="preserve">“Clawback Eligible Incentive Compensation” </w:t>
      </w:r>
      <w:r>
        <w:rPr>
          <w:rFonts w:ascii="Arial" w:cs="Arial" w:eastAsia="Arial" w:hAnsi="Arial"/>
          <w:sz w:val="17"/>
          <w:szCs w:val="17"/>
          <w:color w:val="auto"/>
        </w:rPr>
        <w:t>means all Incentive-based Compensation Received by a current or former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(i) on or after December 1, 2023, (ii) after beginning service as an Executive Officer, (iii) who served as an Executive Officer at any time during the applicable performance period relating to any Incentive-based Compensation, and (iv) during the applicable Clawback Period.</w:t>
      </w:r>
    </w:p>
    <w:p>
      <w:pPr>
        <w:spacing w:after="0" w:line="321" w:lineRule="exact"/>
        <w:rPr>
          <w:rFonts w:ascii="Arial" w:cs="Arial" w:eastAsia="Arial" w:hAnsi="Arial"/>
          <w:sz w:val="19"/>
          <w:szCs w:val="19"/>
          <w:color w:val="auto"/>
        </w:rPr>
      </w:pPr>
    </w:p>
    <w:p>
      <w:pPr>
        <w:jc w:val="both"/>
        <w:ind w:left="640" w:hanging="320"/>
        <w:spacing w:after="0" w:line="277" w:lineRule="auto"/>
        <w:tabs>
          <w:tab w:leader="none" w:pos="631" w:val="left"/>
        </w:tabs>
        <w:numPr>
          <w:ilvl w:val="0"/>
          <w:numId w:val="1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Period” </w:t>
      </w:r>
      <w:r>
        <w:rPr>
          <w:rFonts w:ascii="Arial" w:cs="Arial" w:eastAsia="Arial" w:hAnsi="Arial"/>
          <w:sz w:val="17"/>
          <w:szCs w:val="17"/>
          <w:color w:val="auto"/>
        </w:rPr>
        <w:t>means: (i) with respect to any Accounting Restatement, the three completed fiscal years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immediately preceding the Restatement Date, and if the Company changes its fiscal year, any transition period of less than nine months within or immediately following those three completed fiscal years; (ii) with respect to compensation subject to discretionary recoupment pursuant to Section 2, the three completed fiscal years of the Company immediately preceding the date the Committee concludes an Executive Officer engaged in fraud, embezzlement, or intentional breach of Company policy that is materially detrimental to the Company.</w:t>
      </w:r>
    </w:p>
    <w:p>
      <w:pPr>
        <w:sectPr>
          <w:pgSz w:w="11900" w:h="16838" w:orient="portrait"/>
          <w:cols w:equalWidth="0" w:num="1">
            <w:col w:w="11240"/>
          </w:cols>
          <w:pgMar w:left="320" w:top="165"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640" w:hanging="320"/>
        <w:spacing w:after="0" w:line="269" w:lineRule="auto"/>
        <w:tabs>
          <w:tab w:leader="none" w:pos="634"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“Erroneously Awarded Compensation” </w:t>
      </w:r>
      <w:r>
        <w:rPr>
          <w:rFonts w:ascii="Arial" w:cs="Arial" w:eastAsia="Arial" w:hAnsi="Arial"/>
          <w:sz w:val="17"/>
          <w:szCs w:val="17"/>
          <w:color w:val="auto"/>
        </w:rPr>
        <w:t>means, with respect to each Executive Officer in connection with an Accounting Restatement,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 w:lineRule="exact"/>
        <w:rPr>
          <w:rFonts w:ascii="Arial" w:cs="Arial" w:eastAsia="Arial" w:hAnsi="Arial"/>
          <w:sz w:val="17"/>
          <w:szCs w:val="17"/>
          <w:color w:val="auto"/>
        </w:rPr>
      </w:pPr>
    </w:p>
    <w:p>
      <w:pPr>
        <w:jc w:val="both"/>
        <w:ind w:left="640" w:hanging="320"/>
        <w:spacing w:after="0" w:line="267" w:lineRule="auto"/>
        <w:tabs>
          <w:tab w:leader="none" w:pos="618"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“Executive Officer” </w:t>
      </w:r>
      <w:r>
        <w:rPr>
          <w:rFonts w:ascii="Arial" w:cs="Arial" w:eastAsia="Arial" w:hAnsi="Arial"/>
          <w:sz w:val="17"/>
          <w:szCs w:val="17"/>
          <w:color w:val="auto"/>
        </w:rPr>
        <w:t>means each individual who is currently or was previously designated as an “executive officer” of the Company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jc w:val="both"/>
        <w:ind w:left="640" w:hanging="320"/>
        <w:spacing w:after="0" w:line="269" w:lineRule="auto"/>
        <w:tabs>
          <w:tab w:leader="none" w:pos="628"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Reporting Measures” </w:t>
      </w:r>
      <w:r>
        <w:rPr>
          <w:rFonts w:ascii="Arial" w:cs="Arial" w:eastAsia="Arial" w:hAnsi="Arial"/>
          <w:sz w:val="17"/>
          <w:szCs w:val="17"/>
          <w:color w:val="auto"/>
        </w:rPr>
        <w:t>means measures that are determined and presented in accordance with the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w:t>
      </w:r>
    </w:p>
    <w:p>
      <w:pPr>
        <w:spacing w:after="0" w:line="2" w:lineRule="exact"/>
        <w:rPr>
          <w:rFonts w:ascii="Arial" w:cs="Arial" w:eastAsia="Arial" w:hAnsi="Arial"/>
          <w:sz w:val="17"/>
          <w:szCs w:val="17"/>
          <w:color w:val="auto"/>
        </w:rPr>
      </w:pPr>
    </w:p>
    <w:p>
      <w:pPr>
        <w:ind w:left="640" w:hanging="320"/>
        <w:spacing w:after="0" w:line="265" w:lineRule="auto"/>
        <w:tabs>
          <w:tab w:leader="none" w:pos="631"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“Incentive-based Compensation” </w:t>
      </w:r>
      <w:r>
        <w:rPr>
          <w:rFonts w:ascii="Arial" w:cs="Arial" w:eastAsia="Arial" w:hAnsi="Arial"/>
          <w:sz w:val="17"/>
          <w:szCs w:val="17"/>
          <w:color w:val="auto"/>
        </w:rPr>
        <w:t>means any compensation that is granted, earned or vested based wholly or in part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attainment of a Financial Reporting Measure.</w:t>
      </w:r>
    </w:p>
    <w:p>
      <w:pPr>
        <w:spacing w:after="0" w:line="1" w:lineRule="exact"/>
        <w:rPr>
          <w:rFonts w:ascii="Arial" w:cs="Arial" w:eastAsia="Arial" w:hAnsi="Arial"/>
          <w:sz w:val="17"/>
          <w:szCs w:val="17"/>
          <w:color w:val="auto"/>
        </w:rPr>
      </w:pPr>
    </w:p>
    <w:p>
      <w:pPr>
        <w:jc w:val="both"/>
        <w:ind w:left="640" w:hanging="320"/>
        <w:spacing w:after="0" w:line="254" w:lineRule="auto"/>
        <w:tabs>
          <w:tab w:leader="none" w:pos="632"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“Received” </w:t>
      </w:r>
      <w:r>
        <w:rPr>
          <w:rFonts w:ascii="Arial" w:cs="Arial" w:eastAsia="Arial" w:hAnsi="Arial"/>
          <w:sz w:val="17"/>
          <w:szCs w:val="17"/>
          <w:color w:val="auto"/>
        </w:rPr>
        <w:t>means: (i) with respect to any Incentive-based Compensation, actual or deemed receipt, and Incentive-based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 (ii) with respect to Additional Compensation, Additional Compensation that was granted to, vested and/or earned or received by an Executive Officer during the Clawback Period.</w:t>
      </w:r>
      <w:r>
        <w:rPr>
          <w:rFonts w:ascii="Arial" w:cs="Arial" w:eastAsia="Arial" w:hAnsi="Arial"/>
          <w:sz w:val="22"/>
          <w:szCs w:val="22"/>
          <w:color w:val="auto"/>
          <w:vertAlign w:val="superscript"/>
        </w:rPr>
        <w:t>1</w:t>
      </w:r>
    </w:p>
    <w:p>
      <w:pPr>
        <w:spacing w:after="0" w:line="1" w:lineRule="exact"/>
        <w:rPr>
          <w:rFonts w:ascii="Arial" w:cs="Arial" w:eastAsia="Arial" w:hAnsi="Arial"/>
          <w:sz w:val="17"/>
          <w:szCs w:val="17"/>
          <w:color w:val="auto"/>
        </w:rPr>
      </w:pPr>
    </w:p>
    <w:p>
      <w:pPr>
        <w:jc w:val="both"/>
        <w:ind w:left="640" w:hanging="320"/>
        <w:spacing w:after="0" w:line="276" w:lineRule="auto"/>
        <w:tabs>
          <w:tab w:leader="none" w:pos="632"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“Restatement Date” </w:t>
      </w:r>
      <w:r>
        <w:rPr>
          <w:rFonts w:ascii="Arial" w:cs="Arial" w:eastAsia="Arial" w:hAnsi="Arial"/>
          <w:sz w:val="17"/>
          <w:szCs w:val="17"/>
          <w:color w:val="auto"/>
        </w:rPr>
        <w:t>means the earlier to occur of (i) the date the Board, a committee of the Board or the officers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1665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223" w:lineRule="exact"/>
        <w:rPr>
          <w:sz w:val="20"/>
          <w:szCs w:val="20"/>
          <w:color w:val="auto"/>
        </w:rPr>
      </w:pPr>
    </w:p>
    <w:p>
      <w:pPr>
        <w:ind w:right="120" w:firstLine="5"/>
        <w:spacing w:after="0" w:line="242" w:lineRule="auto"/>
        <w:tabs>
          <w:tab w:leader="none" w:pos="100" w:val="left"/>
        </w:tabs>
        <w:numPr>
          <w:ilvl w:val="0"/>
          <w:numId w:val="177"/>
        </w:numPr>
        <w:rPr>
          <w:rFonts w:ascii="Arial" w:cs="Arial" w:eastAsia="Arial" w:hAnsi="Arial"/>
          <w:sz w:val="20"/>
          <w:szCs w:val="20"/>
          <w:color w:val="auto"/>
          <w:vertAlign w:val="superscript"/>
        </w:rPr>
      </w:pPr>
      <w:r>
        <w:rPr>
          <w:rFonts w:ascii="Arial" w:cs="Arial" w:eastAsia="Arial" w:hAnsi="Arial"/>
          <w:sz w:val="16"/>
          <w:szCs w:val="16"/>
          <w:color w:val="auto"/>
        </w:rPr>
        <w:t>For the avoidance of doubt, Incentive-Based Compensation or Additional Compensation that is subject to deferral pursuant to a deferred compensation plan of the Company Group will be deemed Received by the Covered Executive for purposes of this Policy as of the date of deferral.</w:t>
      </w:r>
    </w:p>
    <w:sectPr>
      <w:pgSz w:w="11900" w:h="16838" w:orient="portrait"/>
      <w:cols w:equalWidth="0" w:num="1">
        <w:col w:w="11240"/>
      </w:cols>
      <w:pgMar w:left="320" w:top="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1)"/>
      <w:numFmt w:val="decimal"/>
      <w:start w:val="1"/>
    </w:lvl>
  </w:abstractNum>
  <w:abstractNum w:abstractNumId="4">
    <w:nsid w:val="46B7D447"/>
    <w:multiLevelType w:val="hybridMultilevel"/>
    <w:lvl w:ilvl="0">
      <w:lvlJc w:val="left"/>
      <w:lvlText w:val="(%1)"/>
      <w:numFmt w:val="decimal"/>
      <w:start w:val="5"/>
    </w:lvl>
  </w:abstractNum>
  <w:abstractNum w:abstractNumId="5">
    <w:nsid w:val="4A2AC315"/>
    <w:multiLevelType w:val="hybridMultilevel"/>
    <w:lvl w:ilvl="0">
      <w:lvlJc w:val="left"/>
      <w:lvlText w:val="(%1)"/>
      <w:numFmt w:val="decimal"/>
      <w:start w:val="7"/>
    </w:lvl>
  </w:abstractNum>
  <w:abstractNum w:abstractNumId="6">
    <w:nsid w:val="39EE015C"/>
    <w:multiLevelType w:val="hybridMultilevel"/>
    <w:lvl w:ilvl="0">
      <w:lvlJc w:val="left"/>
      <w:lvlText w:val="(%1)"/>
      <w:numFmt w:val="decimal"/>
      <w:start w:val="10"/>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
      <w:numFmt w:val="bullet"/>
      <w:start w:val="1"/>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1)"/>
      <w:numFmt w:val="decimal"/>
      <w:start w:val="1"/>
    </w:lvl>
  </w:abstractNum>
  <w:abstractNum w:abstractNumId="16">
    <w:nsid w:val="50801EE1"/>
    <w:multiLevelType w:val="hybridMultilevel"/>
    <w:lvl w:ilvl="0">
      <w:lvlJc w:val="left"/>
      <w:lvlText w:val="(%1)"/>
      <w:numFmt w:val="decimal"/>
      <w:start w:val="1"/>
    </w:lvl>
  </w:abstractNum>
  <w:abstractNum w:abstractNumId="17">
    <w:nsid w:val="488AC1A"/>
    <w:multiLevelType w:val="hybridMultilevel"/>
    <w:lvl w:ilvl="0">
      <w:lvlJc w:val="left"/>
      <w:lvlText w:val="(%1)"/>
      <w:numFmt w:val="decimal"/>
      <w:start w:val="1"/>
    </w:lvl>
    <w:lvl w:ilvl="1">
      <w:lvlJc w:val="left"/>
      <w:lvlText w:val="(%2)"/>
      <w:numFmt w:val="lowerLetter"/>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1)"/>
      <w:numFmt w:val="decimal"/>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1)"/>
      <w:numFmt w:val="decimal"/>
      <w:start w:val="1"/>
    </w:lvl>
  </w:abstractNum>
  <w:abstractNum w:abstractNumId="24">
    <w:nsid w:val="5F3534A4"/>
    <w:multiLevelType w:val="hybridMultilevel"/>
    <w:lvl w:ilvl="0">
      <w:lvlJc w:val="left"/>
      <w:lvlText w:val="(%1)"/>
      <w:numFmt w:val="decimal"/>
      <w:start w:val="9"/>
    </w:lvl>
    <w:lvl w:ilvl="1">
      <w:lvlJc w:val="left"/>
      <w:lvlText w:val="(%2)"/>
      <w:numFmt w:val="lowerLetter"/>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1)"/>
      <w:numFmt w:val="decimal"/>
      <w:start w:val="11"/>
    </w:lvl>
    <w:lvl w:ilvl="1">
      <w:lvlJc w:val="left"/>
      <w:lvlText w:val="(%2)"/>
      <w:numFmt w:val="lowerLetter"/>
      <w:start w:val="1"/>
    </w:lvl>
  </w:abstractNum>
  <w:abstractNum w:abstractNumId="27">
    <w:nsid w:val="555C55B5"/>
    <w:multiLevelType w:val="hybridMultilevel"/>
    <w:lvl w:ilvl="0">
      <w:lvlJc w:val="left"/>
      <w:lvlText w:val="(%1)"/>
      <w:numFmt w:val="decimal"/>
      <w:start w:val="12"/>
    </w:lvl>
    <w:lvl w:ilvl="1">
      <w:lvlJc w:val="left"/>
      <w:lvlText w:val="(%2)"/>
      <w:numFmt w:val="lowerLetter"/>
      <w:start w:val="1"/>
    </w:lvl>
  </w:abstractNum>
  <w:abstractNum w:abstractNumId="28">
    <w:nsid w:val="3FA62ACA"/>
    <w:multiLevelType w:val="hybridMultilevel"/>
    <w:lvl w:ilvl="0">
      <w:lvlJc w:val="left"/>
      <w:lvlText w:val="(%1)"/>
      <w:numFmt w:val="lowerLetter"/>
      <w:start w:val="2"/>
    </w:lvl>
  </w:abstractNum>
  <w:abstractNum w:abstractNumId="29">
    <w:nsid w:val="14FCE74E"/>
    <w:multiLevelType w:val="hybridMultilevel"/>
    <w:lvl w:ilvl="0">
      <w:lvlJc w:val="left"/>
      <w:lvlText w:val="(%1)"/>
      <w:numFmt w:val="decimal"/>
      <w:start w:val="1"/>
    </w:lvl>
    <w:lvl w:ilvl="1">
      <w:lvlJc w:val="left"/>
      <w:lvlText w:val="(%2)"/>
      <w:numFmt w:val="lowerRoman"/>
      <w:start w:val="1"/>
    </w:lvl>
  </w:abstractNum>
  <w:abstractNum w:abstractNumId="30">
    <w:nsid w:val="6A3DD3E8"/>
    <w:multiLevelType w:val="hybridMultilevel"/>
    <w:lvl w:ilvl="0">
      <w:lvlJc w:val="left"/>
      <w:lvlText w:val="(%1)"/>
      <w:numFmt w:val="lowerLetter"/>
      <w:start w:val="1"/>
    </w:lvl>
    <w:lvl w:ilvl="1">
      <w:lvlJc w:val="left"/>
      <w:lvlText w:val="(%2)"/>
      <w:numFmt w:val="decimal"/>
      <w:start w:val="1"/>
    </w:lvl>
  </w:abstractNum>
  <w:abstractNum w:abstractNumId="31">
    <w:nsid w:val="71C91298"/>
    <w:multiLevelType w:val="hybridMultilevel"/>
    <w:lvl w:ilvl="0">
      <w:lvlJc w:val="left"/>
      <w:lvlText w:val="*"/>
      <w:numFmt w:val="bullet"/>
      <w:start w:val="1"/>
    </w:lvl>
    <w:lvl w:ilvl="1">
      <w:lvlJc w:val="left"/>
      <w:lvlText w:val="%2"/>
      <w:numFmt w:val="decimal"/>
      <w:start w:val="104"/>
    </w:lvl>
  </w:abstractNum>
  <w:abstractNum w:abstractNumId="32">
    <w:nsid w:val="9DAF632"/>
    <w:multiLevelType w:val="hybridMultilevel"/>
    <w:lvl w:ilvl="0">
      <w:lvlJc w:val="left"/>
      <w:lvlText w:val="%1."/>
      <w:numFmt w:val="decimal"/>
      <w:start w:val="1"/>
    </w:lvl>
  </w:abstractNum>
  <w:abstractNum w:abstractNumId="33">
    <w:nsid w:val="53299938"/>
    <w:multiLevelType w:val="hybridMultilevel"/>
    <w:lvl w:ilvl="0">
      <w:lvlJc w:val="left"/>
      <w:lvlText w:val="(%1)"/>
      <w:numFmt w:val="lowerLetter"/>
      <w:start w:val="1"/>
    </w:lvl>
  </w:abstractNum>
  <w:abstractNum w:abstractNumId="34">
    <w:nsid w:val="1FBFE8E0"/>
    <w:multiLevelType w:val="hybridMultilevel"/>
    <w:lvl w:ilvl="0">
      <w:lvlJc w:val="left"/>
      <w:lvlText w:val="(%1)"/>
      <w:numFmt w:val="upperLetter"/>
      <w:start w:val="4"/>
    </w:lvl>
    <w:lvl w:ilvl="1">
      <w:lvlJc w:val="left"/>
      <w:lvlText w:val="(%2)"/>
      <w:numFmt w:val="lowerLetter"/>
      <w:start w:val="4"/>
    </w:lvl>
    <w:lvl w:ilvl="2">
      <w:lvlJc w:val="left"/>
      <w:lvlText w:val="(%3)"/>
      <w:numFmt w:val="lowerRoman"/>
      <w:start w:val="1"/>
    </w:lvl>
  </w:abstractNum>
  <w:abstractNum w:abstractNumId="35">
    <w:nsid w:val="5092CA79"/>
    <w:multiLevelType w:val="hybridMultilevel"/>
    <w:lvl w:ilvl="0">
      <w:lvlJc w:val="left"/>
      <w:lvlText w:val="(%1)"/>
      <w:numFmt w:val="lowerLetter"/>
      <w:start w:val="10"/>
    </w:lvl>
  </w:abstractNum>
  <w:abstractNum w:abstractNumId="36">
    <w:nsid w:val="1D545C4D"/>
    <w:multiLevelType w:val="hybridMultilevel"/>
    <w:lvl w:ilvl="0">
      <w:lvlJc w:val="left"/>
      <w:lvlText w:val="%1"/>
      <w:numFmt w:val="decimal"/>
      <w:start w:val="1"/>
    </w:lvl>
    <w:lvl w:ilvl="1">
      <w:lvlJc w:val="left"/>
      <w:lvlText w:val="(%2)"/>
      <w:numFmt w:val="lowerLetter"/>
      <w:start w:val="19"/>
    </w:lvl>
  </w:abstractNum>
  <w:abstractNum w:abstractNumId="37">
    <w:nsid w:val="59ADEA3D"/>
    <w:multiLevelType w:val="hybridMultilevel"/>
    <w:lvl w:ilvl="0">
      <w:lvlJc w:val="left"/>
      <w:lvlText w:val="%1."/>
      <w:numFmt w:val="decimal"/>
      <w:start w:val="2"/>
    </w:lvl>
    <w:lvl w:ilvl="1">
      <w:lvlJc w:val="left"/>
      <w:lvlText w:val="(%2)"/>
      <w:numFmt w:val="lowerLetter"/>
      <w:start w:val="1"/>
    </w:lvl>
  </w:abstractNum>
  <w:abstractNum w:abstractNumId="38">
    <w:nsid w:val="288F1A34"/>
    <w:multiLevelType w:val="hybridMultilevel"/>
    <w:lvl w:ilvl="0">
      <w:lvlJc w:val="left"/>
      <w:lvlText w:val="%1"/>
      <w:numFmt w:val="decimal"/>
      <w:start w:val="1"/>
    </w:lvl>
    <w:lvl w:ilvl="1">
      <w:lvlJc w:val="left"/>
      <w:lvlText w:val="(%2)"/>
      <w:numFmt w:val="lowerLetter"/>
      <w:start w:val="3"/>
    </w:lvl>
  </w:abstractNum>
  <w:abstractNum w:abstractNumId="39">
    <w:nsid w:val="2A155DBC"/>
    <w:multiLevelType w:val="hybridMultilevel"/>
    <w:lvl w:ilvl="0">
      <w:lvlJc w:val="left"/>
      <w:lvlText w:val="%1."/>
      <w:numFmt w:val="decimal"/>
      <w:start w:val="5"/>
    </w:lvl>
    <w:lvl w:ilvl="1">
      <w:lvlJc w:val="left"/>
      <w:lvlText w:val="%2"/>
      <w:numFmt w:val="lowerLetter"/>
      <w:start w:val="1"/>
    </w:lvl>
  </w:abstractNum>
  <w:abstractNum w:abstractNumId="40">
    <w:nsid w:val="1D9F6E5F"/>
    <w:multiLevelType w:val="hybridMultilevel"/>
    <w:lvl w:ilvl="0">
      <w:lvlJc w:val="left"/>
      <w:lvlText w:val="%1."/>
      <w:numFmt w:val="decimal"/>
      <w:start w:val="6"/>
    </w:lvl>
    <w:lvl w:ilvl="1">
      <w:lvlJc w:val="left"/>
      <w:lvlText w:val="(%2)"/>
      <w:numFmt w:val="lowerLetter"/>
      <w:start w:val="1"/>
    </w:lvl>
  </w:abstractNum>
  <w:abstractNum w:abstractNumId="41">
    <w:nsid w:val="97E1B4E"/>
    <w:multiLevelType w:val="hybridMultilevel"/>
    <w:lvl w:ilvl="0">
      <w:lvlJc w:val="left"/>
      <w:lvlText w:val="%1"/>
      <w:numFmt w:val="decimal"/>
      <w:start w:val="1"/>
    </w:lvl>
    <w:lvl w:ilvl="1">
      <w:lvlJc w:val="left"/>
      <w:lvlText w:val="(%2)"/>
      <w:numFmt w:val="lowerLetter"/>
      <w:start w:val="3"/>
    </w:lvl>
  </w:abstractNum>
  <w:abstractNum w:abstractNumId="42">
    <w:nsid w:val="51088277"/>
    <w:multiLevelType w:val="hybridMultilevel"/>
    <w:lvl w:ilvl="0">
      <w:lvlJc w:val="left"/>
      <w:lvlText w:val="%1."/>
      <w:numFmt w:val="decimal"/>
      <w:start w:val="7"/>
    </w:lvl>
    <w:lvl w:ilvl="1">
      <w:lvlJc w:val="left"/>
      <w:lvlText w:val="(%2)"/>
      <w:numFmt w:val="lowerLetter"/>
      <w:start w:val="1"/>
    </w:lvl>
  </w:abstractNum>
  <w:abstractNum w:abstractNumId="43">
    <w:nsid w:val="1CA0C5FA"/>
    <w:multiLevelType w:val="hybridMultilevel"/>
    <w:lvl w:ilvl="0">
      <w:lvlJc w:val="left"/>
      <w:lvlText w:val="%1."/>
      <w:numFmt w:val="decimal"/>
      <w:start w:val="9"/>
    </w:lvl>
    <w:lvl w:ilvl="1">
      <w:lvlJc w:val="left"/>
      <w:lvlText w:val="(%2)"/>
      <w:numFmt w:val="lowerLetter"/>
      <w:start w:val="1"/>
    </w:lvl>
  </w:abstractNum>
  <w:abstractNum w:abstractNumId="44">
    <w:nsid w:val="53584BCB"/>
    <w:multiLevelType w:val="hybridMultilevel"/>
    <w:lvl w:ilvl="0">
      <w:lvlJc w:val="left"/>
      <w:lvlText w:val="%1."/>
      <w:numFmt w:val="decimal"/>
      <w:start w:val="11"/>
    </w:lvl>
  </w:abstractNum>
  <w:abstractNum w:abstractNumId="45">
    <w:nsid w:val="415E286C"/>
    <w:multiLevelType w:val="hybridMultilevel"/>
    <w:lvl w:ilvl="0">
      <w:lvlJc w:val="left"/>
      <w:lvlText w:val="%1."/>
      <w:numFmt w:val="decimal"/>
      <w:start w:val="1"/>
    </w:lvl>
  </w:abstractNum>
  <w:abstractNum w:abstractNumId="46">
    <w:nsid w:val="7C58FD05"/>
    <w:multiLevelType w:val="hybridMultilevel"/>
    <w:lvl w:ilvl="0">
      <w:lvlJc w:val="left"/>
      <w:lvlText w:val="(%1)"/>
      <w:numFmt w:val="lowerLetter"/>
      <w:start w:val="1"/>
    </w:lvl>
  </w:abstractNum>
  <w:abstractNum w:abstractNumId="47">
    <w:nsid w:val="23D86AAC"/>
    <w:multiLevelType w:val="hybridMultilevel"/>
    <w:lvl w:ilvl="0">
      <w:lvlJc w:val="left"/>
      <w:lvlText w:val="(%1)"/>
      <w:numFmt w:val="lowerLetter"/>
      <w:start w:val="4"/>
    </w:lvl>
    <w:lvl w:ilvl="1">
      <w:lvlJc w:val="left"/>
      <w:lvlText w:val="(%2)"/>
      <w:numFmt w:val="lowerRoman"/>
      <w:start w:val="1"/>
    </w:lvl>
  </w:abstractNum>
  <w:abstractNum w:abstractNumId="48">
    <w:nsid w:val="45E6D486"/>
    <w:multiLevelType w:val="hybridMultilevel"/>
    <w:lvl w:ilvl="0">
      <w:lvlJc w:val="left"/>
      <w:lvlText w:val="(%1)"/>
      <w:numFmt w:val="lowerLetter"/>
      <w:start w:val="12"/>
    </w:lvl>
  </w:abstractNum>
  <w:abstractNum w:abstractNumId="49">
    <w:nsid w:val="5C10FE21"/>
    <w:multiLevelType w:val="hybridMultilevel"/>
    <w:lvl w:ilvl="0">
      <w:lvlJc w:val="left"/>
      <w:lvlText w:val="(%1)"/>
      <w:numFmt w:val="lowerLetter"/>
      <w:start w:val="18"/>
    </w:lvl>
  </w:abstractNum>
  <w:abstractNum w:abstractNumId="50">
    <w:nsid w:val="E7FFA2B"/>
    <w:multiLevelType w:val="hybridMultilevel"/>
    <w:lvl w:ilvl="0">
      <w:lvlJc w:val="left"/>
      <w:lvlText w:val="%1"/>
      <w:numFmt w:val="decimal"/>
      <w:start w:val="1"/>
    </w:lvl>
    <w:lvl w:ilvl="1">
      <w:lvlJc w:val="left"/>
      <w:lvlText w:val="(%2)"/>
      <w:numFmt w:val="lowerLetter"/>
      <w:start w:val="19"/>
    </w:lvl>
  </w:abstractNum>
  <w:abstractNum w:abstractNumId="51">
    <w:nsid w:val="3C5991AA"/>
    <w:multiLevelType w:val="hybridMultilevel"/>
    <w:lvl w:ilvl="0">
      <w:lvlJc w:val="left"/>
      <w:lvlText w:val="%1."/>
      <w:numFmt w:val="decimal"/>
      <w:start w:val="2"/>
    </w:lvl>
    <w:lvl w:ilvl="1">
      <w:lvlJc w:val="left"/>
      <w:lvlText w:val="(%2)"/>
      <w:numFmt w:val="lowerLetter"/>
      <w:start w:val="1"/>
    </w:lvl>
  </w:abstractNum>
  <w:abstractNum w:abstractNumId="52">
    <w:nsid w:val="4BD8591A"/>
    <w:multiLevelType w:val="hybridMultilevel"/>
    <w:lvl w:ilvl="0">
      <w:lvlJc w:val="left"/>
      <w:lvlText w:val="%1"/>
      <w:numFmt w:val="decimal"/>
      <w:start w:val="1"/>
    </w:lvl>
    <w:lvl w:ilvl="1">
      <w:lvlJc w:val="left"/>
      <w:lvlText w:val="(%2)"/>
      <w:numFmt w:val="lowerLetter"/>
      <w:start w:val="5"/>
    </w:lvl>
  </w:abstractNum>
  <w:abstractNum w:abstractNumId="53">
    <w:nsid w:val="78DF6A55"/>
    <w:multiLevelType w:val="hybridMultilevel"/>
    <w:lvl w:ilvl="0">
      <w:lvlJc w:val="left"/>
      <w:lvlText w:val="%1."/>
      <w:numFmt w:val="decimal"/>
      <w:start w:val="5"/>
    </w:lvl>
    <w:lvl w:ilvl="1">
      <w:lvlJc w:val="left"/>
      <w:lvlText w:val="%2"/>
      <w:numFmt w:val="lowerLetter"/>
      <w:start w:val="1"/>
    </w:lvl>
  </w:abstractNum>
  <w:abstractNum w:abstractNumId="54">
    <w:nsid w:val="39B7AAA2"/>
    <w:multiLevelType w:val="hybridMultilevel"/>
    <w:lvl w:ilvl="0">
      <w:lvlJc w:val="left"/>
      <w:lvlText w:val="%1."/>
      <w:numFmt w:val="decimal"/>
      <w:start w:val="6"/>
    </w:lvl>
    <w:lvl w:ilvl="1">
      <w:lvlJc w:val="left"/>
      <w:lvlText w:val="(%2)"/>
      <w:numFmt w:val="lowerLetter"/>
      <w:start w:val="1"/>
    </w:lvl>
  </w:abstractNum>
  <w:abstractNum w:abstractNumId="55">
    <w:nsid w:val="2B0D8DBE"/>
    <w:multiLevelType w:val="hybridMultilevel"/>
    <w:lvl w:ilvl="0">
      <w:lvlJc w:val="left"/>
      <w:lvlText w:val="%1"/>
      <w:numFmt w:val="decimal"/>
      <w:start w:val="1"/>
    </w:lvl>
    <w:lvl w:ilvl="1">
      <w:lvlJc w:val="left"/>
      <w:lvlText w:val="(%2)"/>
      <w:numFmt w:val="lowerLetter"/>
      <w:start w:val="4"/>
    </w:lvl>
  </w:abstractNum>
  <w:abstractNum w:abstractNumId="56">
    <w:nsid w:val="6C80EC70"/>
    <w:multiLevelType w:val="hybridMultilevel"/>
    <w:lvl w:ilvl="0">
      <w:lvlJc w:val="left"/>
      <w:lvlText w:val="%1."/>
      <w:numFmt w:val="decimal"/>
      <w:start w:val="7"/>
    </w:lvl>
    <w:lvl w:ilvl="1">
      <w:lvlJc w:val="left"/>
      <w:lvlText w:val="(%2)"/>
      <w:numFmt w:val="lowerLetter"/>
      <w:start w:val="1"/>
    </w:lvl>
  </w:abstractNum>
  <w:abstractNum w:abstractNumId="57">
    <w:nsid w:val="379E21B5"/>
    <w:multiLevelType w:val="hybridMultilevel"/>
    <w:lvl w:ilvl="0">
      <w:lvlJc w:val="left"/>
      <w:lvlText w:val="(%1)"/>
      <w:numFmt w:val="lowerLetter"/>
      <w:start w:val="2"/>
    </w:lvl>
  </w:abstractNum>
  <w:abstractNum w:abstractNumId="58">
    <w:nsid w:val="69E373"/>
    <w:multiLevelType w:val="hybridMultilevel"/>
    <w:lvl w:ilvl="0">
      <w:lvlJc w:val="left"/>
      <w:lvlText w:val="%1"/>
      <w:numFmt w:val="decimal"/>
      <w:start w:val="1"/>
    </w:lvl>
    <w:lvl w:ilvl="1">
      <w:lvlJc w:val="left"/>
      <w:lvlText w:val="%2)"/>
      <w:numFmt w:val="lowerLetter"/>
      <w:start w:val="4"/>
    </w:lvl>
  </w:abstractNum>
  <w:abstractNum w:abstractNumId="59">
    <w:nsid w:val="2C27173B"/>
    <w:multiLevelType w:val="hybridMultilevel"/>
    <w:lvl w:ilvl="0">
      <w:lvlJc w:val="left"/>
      <w:lvlText w:val="%1."/>
      <w:numFmt w:val="decimal"/>
      <w:start w:val="10"/>
    </w:lvl>
    <w:lvl w:ilvl="1">
      <w:lvlJc w:val="left"/>
      <w:lvlText w:val="%2"/>
      <w:numFmt w:val="lowerLetter"/>
      <w:start w:val="1"/>
    </w:lvl>
  </w:abstractNum>
  <w:abstractNum w:abstractNumId="60">
    <w:nsid w:val="4C9B0904"/>
    <w:multiLevelType w:val="hybridMultilevel"/>
    <w:lvl w:ilvl="0">
      <w:lvlJc w:val="left"/>
      <w:lvlText w:val="%1."/>
      <w:numFmt w:val="decimal"/>
      <w:start w:val="13"/>
    </w:lvl>
  </w:abstractNum>
  <w:abstractNum w:abstractNumId="61">
    <w:nsid w:val="6AA7B75C"/>
    <w:multiLevelType w:val="hybridMultilevel"/>
    <w:lvl w:ilvl="0">
      <w:lvlJc w:val="left"/>
      <w:lvlText w:val="%1."/>
      <w:numFmt w:val="decimal"/>
      <w:start w:val="1"/>
    </w:lvl>
  </w:abstractNum>
  <w:abstractNum w:abstractNumId="62">
    <w:nsid w:val="1DF029D3"/>
    <w:multiLevelType w:val="hybridMultilevel"/>
    <w:lvl w:ilvl="0">
      <w:lvlJc w:val="left"/>
      <w:lvlText w:val="(%1)"/>
      <w:numFmt w:val="lowerLetter"/>
      <w:start w:val="1"/>
    </w:lvl>
  </w:abstractNum>
  <w:abstractNum w:abstractNumId="63">
    <w:nsid w:val="5675FF36"/>
    <w:multiLevelType w:val="hybridMultilevel"/>
    <w:lvl w:ilvl="0">
      <w:lvlJc w:val="left"/>
      <w:lvlText w:val="(%1)"/>
      <w:numFmt w:val="lowerLetter"/>
      <w:start w:val="3"/>
    </w:lvl>
    <w:lvl w:ilvl="1">
      <w:lvlJc w:val="left"/>
      <w:lvlText w:val="(%2)"/>
      <w:numFmt w:val="lowerRoman"/>
      <w:start w:val="1"/>
    </w:lvl>
  </w:abstractNum>
  <w:abstractNum w:abstractNumId="64">
    <w:nsid w:val="3DD15094"/>
    <w:multiLevelType w:val="hybridMultilevel"/>
    <w:lvl w:ilvl="0">
      <w:lvlJc w:val="left"/>
      <w:lvlText w:val="%1"/>
      <w:numFmt w:val="decimal"/>
      <w:start w:val="1"/>
    </w:lvl>
    <w:lvl w:ilvl="1">
      <w:lvlJc w:val="left"/>
      <w:lvlText w:val="(%2)"/>
      <w:numFmt w:val="lowerLetter"/>
      <w:start w:val="8"/>
    </w:lvl>
  </w:abstractNum>
  <w:abstractNum w:abstractNumId="65">
    <w:nsid w:val="3DB012B3"/>
    <w:multiLevelType w:val="hybridMultilevel"/>
    <w:lvl w:ilvl="0">
      <w:lvlJc w:val="left"/>
      <w:lvlText w:val="%1."/>
      <w:numFmt w:val="decimal"/>
      <w:start w:val="2"/>
    </w:lvl>
    <w:lvl w:ilvl="1">
      <w:lvlJc w:val="left"/>
      <w:lvlText w:val="(%2)"/>
      <w:numFmt w:val="lowerLetter"/>
      <w:start w:val="1"/>
    </w:lvl>
  </w:abstractNum>
  <w:abstractNum w:abstractNumId="66">
    <w:nsid w:val="2708C9AF"/>
    <w:multiLevelType w:val="hybridMultilevel"/>
    <w:lvl w:ilvl="0">
      <w:lvlJc w:val="left"/>
      <w:lvlText w:val="%1"/>
      <w:numFmt w:val="decimal"/>
      <w:start w:val="1"/>
    </w:lvl>
    <w:lvl w:ilvl="1">
      <w:lvlJc w:val="left"/>
      <w:lvlText w:val="(%2)"/>
      <w:numFmt w:val="lowerLetter"/>
      <w:start w:val="2"/>
    </w:lvl>
  </w:abstractNum>
  <w:abstractNum w:abstractNumId="67">
    <w:nsid w:val="5B25ACE2"/>
    <w:multiLevelType w:val="hybridMultilevel"/>
    <w:lvl w:ilvl="0">
      <w:lvlJc w:val="left"/>
      <w:lvlText w:val="%1."/>
      <w:numFmt w:val="decimal"/>
      <w:start w:val="5"/>
    </w:lvl>
    <w:lvl w:ilvl="1">
      <w:lvlJc w:val="left"/>
      <w:lvlText w:val="%2"/>
      <w:numFmt w:val="lowerLetter"/>
      <w:start w:val="1"/>
    </w:lvl>
  </w:abstractNum>
  <w:abstractNum w:abstractNumId="68">
    <w:nsid w:val="175DFCF0"/>
    <w:multiLevelType w:val="hybridMultilevel"/>
    <w:lvl w:ilvl="0">
      <w:lvlJc w:val="left"/>
      <w:lvlText w:val="%1."/>
      <w:numFmt w:val="decimal"/>
      <w:start w:val="6"/>
    </w:lvl>
    <w:lvl w:ilvl="1">
      <w:lvlJc w:val="left"/>
      <w:lvlText w:val="(%2)"/>
      <w:numFmt w:val="lowerLetter"/>
      <w:start w:val="1"/>
    </w:lvl>
  </w:abstractNum>
  <w:abstractNum w:abstractNumId="69">
    <w:nsid w:val="4F97E3E4"/>
    <w:multiLevelType w:val="hybridMultilevel"/>
    <w:lvl w:ilvl="0">
      <w:lvlJc w:val="left"/>
      <w:lvlText w:val="%1"/>
      <w:numFmt w:val="decimal"/>
      <w:start w:val="1"/>
    </w:lvl>
    <w:lvl w:ilvl="1">
      <w:lvlJc w:val="left"/>
      <w:lvlText w:val="(%2)"/>
      <w:numFmt w:val="lowerLetter"/>
      <w:start w:val="2"/>
    </w:lvl>
  </w:abstractNum>
  <w:abstractNum w:abstractNumId="70">
    <w:nsid w:val="53B0A9E"/>
    <w:multiLevelType w:val="hybridMultilevel"/>
    <w:lvl w:ilvl="0">
      <w:lvlJc w:val="left"/>
      <w:lvlText w:val="%1."/>
      <w:numFmt w:val="decimal"/>
      <w:start w:val="7"/>
    </w:lvl>
    <w:lvl w:ilvl="1">
      <w:lvlJc w:val="left"/>
      <w:lvlText w:val="(%2)"/>
      <w:numFmt w:val="lowerLetter"/>
      <w:start w:val="1"/>
    </w:lvl>
  </w:abstractNum>
  <w:abstractNum w:abstractNumId="71">
    <w:nsid w:val="34FD6B4F"/>
    <w:multiLevelType w:val="hybridMultilevel"/>
    <w:lvl w:ilvl="0">
      <w:lvlJc w:val="left"/>
      <w:lvlText w:val="%1."/>
      <w:numFmt w:val="decimal"/>
      <w:start w:val="9"/>
    </w:lvl>
    <w:lvl w:ilvl="1">
      <w:lvlJc w:val="left"/>
      <w:lvlText w:val="(%2)"/>
      <w:numFmt w:val="lowerLetter"/>
      <w:start w:val="1"/>
    </w:lvl>
  </w:abstractNum>
  <w:abstractNum w:abstractNumId="72">
    <w:nsid w:val="5915FF32"/>
    <w:multiLevelType w:val="hybridMultilevel"/>
    <w:lvl w:ilvl="0">
      <w:lvlJc w:val="left"/>
      <w:lvlText w:val="(%1)"/>
      <w:numFmt w:val="lowerLetter"/>
      <w:start w:val="4"/>
    </w:lvl>
  </w:abstractNum>
  <w:abstractNum w:abstractNumId="73">
    <w:nsid w:val="56438D15"/>
    <w:multiLevelType w:val="hybridMultilevel"/>
    <w:lvl w:ilvl="0">
      <w:lvlJc w:val="left"/>
      <w:lvlText w:val="%1."/>
      <w:numFmt w:val="decimal"/>
      <w:start w:val="10"/>
    </w:lvl>
  </w:abstractNum>
  <w:abstractNum w:abstractNumId="74">
    <w:nsid w:val="519E3149"/>
    <w:multiLevelType w:val="hybridMultilevel"/>
    <w:lvl w:ilvl="0">
      <w:lvlJc w:val="left"/>
      <w:lvlText w:val="%1."/>
      <w:numFmt w:val="decimal"/>
      <w:start w:val="1"/>
    </w:lvl>
  </w:abstractNum>
  <w:abstractNum w:abstractNumId="75">
    <w:nsid w:val="2C6E4AFD"/>
    <w:multiLevelType w:val="hybridMultilevel"/>
    <w:lvl w:ilvl="0">
      <w:lvlJc w:val="left"/>
      <w:lvlText w:val="(%1)"/>
      <w:numFmt w:val="lowerLetter"/>
      <w:start w:val="1"/>
    </w:lvl>
  </w:abstractNum>
  <w:abstractNum w:abstractNumId="76">
    <w:nsid w:val="17A1B582"/>
    <w:multiLevelType w:val="hybridMultilevel"/>
    <w:lvl w:ilvl="0">
      <w:lvlJc w:val="left"/>
      <w:lvlText w:val="(%1)"/>
      <w:numFmt w:val="lowerLetter"/>
      <w:start w:val="3"/>
    </w:lvl>
    <w:lvl w:ilvl="1">
      <w:lvlJc w:val="left"/>
      <w:lvlText w:val="(%2)"/>
      <w:numFmt w:val="lowerRoman"/>
      <w:start w:val="1"/>
    </w:lvl>
  </w:abstractNum>
  <w:abstractNum w:abstractNumId="77">
    <w:nsid w:val="4DF72E4E"/>
    <w:multiLevelType w:val="hybridMultilevel"/>
    <w:lvl w:ilvl="0">
      <w:lvlJc w:val="left"/>
      <w:lvlText w:val="%1"/>
      <w:numFmt w:val="decimal"/>
      <w:start w:val="1"/>
    </w:lvl>
    <w:lvl w:ilvl="1">
      <w:lvlJc w:val="left"/>
      <w:lvlText w:val="(%2)"/>
      <w:numFmt w:val="lowerLetter"/>
      <w:start w:val="9"/>
    </w:lvl>
  </w:abstractNum>
  <w:abstractNum w:abstractNumId="78">
    <w:nsid w:val="5046B5A9"/>
    <w:multiLevelType w:val="hybridMultilevel"/>
    <w:lvl w:ilvl="0">
      <w:lvlJc w:val="left"/>
      <w:lvlText w:val="%1."/>
      <w:numFmt w:val="decimal"/>
      <w:start w:val="2"/>
    </w:lvl>
    <w:lvl w:ilvl="1">
      <w:lvlJc w:val="left"/>
      <w:lvlText w:val="(%2)"/>
      <w:numFmt w:val="lowerLetter"/>
      <w:start w:val="1"/>
    </w:lvl>
  </w:abstractNum>
  <w:abstractNum w:abstractNumId="79">
    <w:nsid w:val="5D888A08"/>
    <w:multiLevelType w:val="hybridMultilevel"/>
    <w:lvl w:ilvl="0">
      <w:lvlJc w:val="left"/>
      <w:lvlText w:val="%1"/>
      <w:numFmt w:val="decimal"/>
      <w:start w:val="1"/>
    </w:lvl>
    <w:lvl w:ilvl="1">
      <w:lvlJc w:val="left"/>
      <w:lvlText w:val="(%2)"/>
      <w:numFmt w:val="lowerLetter"/>
      <w:start w:val="4"/>
    </w:lvl>
  </w:abstractNum>
  <w:abstractNum w:abstractNumId="80">
    <w:nsid w:val="2A082C70"/>
    <w:multiLevelType w:val="hybridMultilevel"/>
    <w:lvl w:ilvl="0">
      <w:lvlJc w:val="left"/>
      <w:lvlText w:val="%1."/>
      <w:numFmt w:val="decimal"/>
      <w:start w:val="5"/>
    </w:lvl>
    <w:lvl w:ilvl="1">
      <w:lvlJc w:val="left"/>
      <w:lvlText w:val="%2"/>
      <w:numFmt w:val="lowerLetter"/>
      <w:start w:val="1"/>
    </w:lvl>
  </w:abstractNum>
  <w:abstractNum w:abstractNumId="81">
    <w:nsid w:val="5EC6AFD4"/>
    <w:multiLevelType w:val="hybridMultilevel"/>
    <w:lvl w:ilvl="0">
      <w:lvlJc w:val="left"/>
      <w:lvlText w:val="%1."/>
      <w:numFmt w:val="decimal"/>
      <w:start w:val="6"/>
    </w:lvl>
    <w:lvl w:ilvl="1">
      <w:lvlJc w:val="left"/>
      <w:lvlText w:val="(%2)"/>
      <w:numFmt w:val="lowerLetter"/>
      <w:start w:val="1"/>
    </w:lvl>
  </w:abstractNum>
  <w:abstractNum w:abstractNumId="82">
    <w:nsid w:val="19E21BB2"/>
    <w:multiLevelType w:val="hybridMultilevel"/>
    <w:lvl w:ilvl="0">
      <w:lvlJc w:val="left"/>
      <w:lvlText w:val="%1"/>
      <w:numFmt w:val="decimal"/>
      <w:start w:val="1"/>
    </w:lvl>
    <w:lvl w:ilvl="1">
      <w:lvlJc w:val="left"/>
      <w:lvlText w:val="(%2)"/>
      <w:numFmt w:val="lowerLetter"/>
      <w:start w:val="4"/>
    </w:lvl>
  </w:abstractNum>
  <w:abstractNum w:abstractNumId="83">
    <w:nsid w:val="75E0858A"/>
    <w:multiLevelType w:val="hybridMultilevel"/>
    <w:lvl w:ilvl="0">
      <w:lvlJc w:val="left"/>
      <w:lvlText w:val="%1."/>
      <w:numFmt w:val="decimal"/>
      <w:start w:val="7"/>
    </w:lvl>
    <w:lvl w:ilvl="1">
      <w:lvlJc w:val="left"/>
      <w:lvlText w:val="(%2)"/>
      <w:numFmt w:val="lowerLetter"/>
      <w:start w:val="1"/>
    </w:lvl>
  </w:abstractNum>
  <w:abstractNum w:abstractNumId="84">
    <w:nsid w:val="57A61A29"/>
    <w:multiLevelType w:val="hybridMultilevel"/>
    <w:lvl w:ilvl="0">
      <w:lvlJc w:val="left"/>
      <w:lvlText w:val="%1"/>
      <w:numFmt w:val="decimal"/>
      <w:start w:val="1"/>
    </w:lvl>
    <w:lvl w:ilvl="1">
      <w:lvlJc w:val="left"/>
      <w:lvlText w:val="(%2)"/>
      <w:numFmt w:val="lowerLetter"/>
      <w:start w:val="2"/>
    </w:lvl>
  </w:abstractNum>
  <w:abstractNum w:abstractNumId="85">
    <w:nsid w:val="5399C654"/>
    <w:multiLevelType w:val="hybridMultilevel"/>
    <w:lvl w:ilvl="0">
      <w:lvlJc w:val="left"/>
      <w:lvlText w:val="%1."/>
      <w:numFmt w:val="decimal"/>
      <w:start w:val="10"/>
    </w:lvl>
    <w:lvl w:ilvl="1">
      <w:lvlJc w:val="left"/>
      <w:lvlText w:val="%2"/>
      <w:numFmt w:val="lowerLetter"/>
      <w:start w:val="1"/>
    </w:lvl>
  </w:abstractNum>
  <w:abstractNum w:abstractNumId="86">
    <w:nsid w:val="20EE1348"/>
    <w:multiLevelType w:val="hybridMultilevel"/>
    <w:lvl w:ilvl="0">
      <w:lvlJc w:val="left"/>
      <w:lvlText w:val="%1."/>
      <w:numFmt w:val="decimal"/>
      <w:start w:val="12"/>
    </w:lvl>
  </w:abstractNum>
  <w:abstractNum w:abstractNumId="87">
    <w:nsid w:val="4427069A"/>
    <w:multiLevelType w:val="hybridMultilevel"/>
    <w:lvl w:ilvl="0">
      <w:lvlJc w:val="left"/>
      <w:lvlText w:val="%1."/>
      <w:numFmt w:val="decimal"/>
      <w:start w:val="1"/>
    </w:lvl>
  </w:abstractNum>
  <w:abstractNum w:abstractNumId="88">
    <w:nsid w:val="B37E80A"/>
    <w:multiLevelType w:val="hybridMultilevel"/>
    <w:lvl w:ilvl="0">
      <w:lvlJc w:val="left"/>
      <w:lvlText w:val="(%1)"/>
      <w:numFmt w:val="lowerLetter"/>
      <w:start w:val="1"/>
    </w:lvl>
  </w:abstractNum>
  <w:abstractNum w:abstractNumId="89">
    <w:nsid w:val="2157F6BC"/>
    <w:multiLevelType w:val="hybridMultilevel"/>
    <w:lvl w:ilvl="0">
      <w:lvlJc w:val="left"/>
      <w:lvlText w:val="(%1)"/>
      <w:numFmt w:val="lowerLetter"/>
      <w:start w:val="3"/>
    </w:lvl>
    <w:lvl w:ilvl="1">
      <w:lvlJc w:val="left"/>
      <w:lvlText w:val="(%2)"/>
      <w:numFmt w:val="lowerRoman"/>
      <w:start w:val="1"/>
    </w:lvl>
  </w:abstractNum>
  <w:abstractNum w:abstractNumId="90">
    <w:nsid w:val="704E1DD5"/>
    <w:multiLevelType w:val="hybridMultilevel"/>
    <w:lvl w:ilvl="0">
      <w:lvlJc w:val="left"/>
      <w:lvlText w:val="%1"/>
      <w:numFmt w:val="decimal"/>
      <w:start w:val="1"/>
    </w:lvl>
    <w:lvl w:ilvl="1">
      <w:lvlJc w:val="left"/>
      <w:lvlText w:val="(%2)"/>
      <w:numFmt w:val="lowerLetter"/>
      <w:start w:val="9"/>
    </w:lvl>
  </w:abstractNum>
  <w:abstractNum w:abstractNumId="91">
    <w:nsid w:val="57D2F10E"/>
    <w:multiLevelType w:val="hybridMultilevel"/>
    <w:lvl w:ilvl="0">
      <w:lvlJc w:val="left"/>
      <w:lvlText w:val="%1."/>
      <w:numFmt w:val="decimal"/>
      <w:start w:val="2"/>
    </w:lvl>
    <w:lvl w:ilvl="1">
      <w:lvlJc w:val="left"/>
      <w:lvlText w:val="(%2)"/>
      <w:numFmt w:val="lowerLetter"/>
      <w:start w:val="1"/>
    </w:lvl>
  </w:abstractNum>
  <w:abstractNum w:abstractNumId="92">
    <w:nsid w:val="BFFAE18"/>
    <w:multiLevelType w:val="hybridMultilevel"/>
    <w:lvl w:ilvl="0">
      <w:lvlJc w:val="left"/>
      <w:lvlText w:val="%1"/>
      <w:numFmt w:val="decimal"/>
      <w:start w:val="1"/>
    </w:lvl>
    <w:lvl w:ilvl="1">
      <w:lvlJc w:val="left"/>
      <w:lvlText w:val="(%2)"/>
      <w:numFmt w:val="lowerLetter"/>
      <w:start w:val="5"/>
    </w:lvl>
  </w:abstractNum>
  <w:abstractNum w:abstractNumId="93">
    <w:nsid w:val="E3E47A8"/>
    <w:multiLevelType w:val="hybridMultilevel"/>
    <w:lvl w:ilvl="0">
      <w:lvlJc w:val="left"/>
      <w:lvlText w:val="%1."/>
      <w:numFmt w:val="decimal"/>
      <w:start w:val="5"/>
    </w:lvl>
    <w:lvl w:ilvl="1">
      <w:lvlJc w:val="left"/>
      <w:lvlText w:val="%2"/>
      <w:numFmt w:val="lowerLetter"/>
      <w:start w:val="1"/>
    </w:lvl>
  </w:abstractNum>
  <w:abstractNum w:abstractNumId="94">
    <w:nsid w:val="2E48F044"/>
    <w:multiLevelType w:val="hybridMultilevel"/>
    <w:lvl w:ilvl="0">
      <w:lvlJc w:val="left"/>
      <w:lvlText w:val="%1."/>
      <w:numFmt w:val="decimal"/>
      <w:start w:val="6"/>
    </w:lvl>
    <w:lvl w:ilvl="1">
      <w:lvlJc w:val="left"/>
      <w:lvlText w:val="(%2)"/>
      <w:numFmt w:val="lowerLetter"/>
      <w:start w:val="1"/>
    </w:lvl>
  </w:abstractNum>
  <w:abstractNum w:abstractNumId="95">
    <w:nsid w:val="49D0FEAC"/>
    <w:multiLevelType w:val="hybridMultilevel"/>
    <w:lvl w:ilvl="0">
      <w:lvlJc w:val="left"/>
      <w:lvlText w:val="%1"/>
      <w:numFmt w:val="decimal"/>
      <w:start w:val="1"/>
    </w:lvl>
    <w:lvl w:ilvl="1">
      <w:lvlJc w:val="left"/>
      <w:lvlText w:val="(%2)"/>
      <w:numFmt w:val="lowerLetter"/>
      <w:start w:val="5"/>
    </w:lvl>
  </w:abstractNum>
  <w:abstractNum w:abstractNumId="96">
    <w:nsid w:val="4BEE5A5B"/>
    <w:multiLevelType w:val="hybridMultilevel"/>
    <w:lvl w:ilvl="0">
      <w:lvlJc w:val="left"/>
      <w:lvlText w:val="%1."/>
      <w:numFmt w:val="decimal"/>
      <w:start w:val="7"/>
    </w:lvl>
    <w:lvl w:ilvl="1">
      <w:lvlJc w:val="left"/>
      <w:lvlText w:val="(%2)"/>
      <w:numFmt w:val="lowerLetter"/>
      <w:start w:val="1"/>
    </w:lvl>
  </w:abstractNum>
  <w:abstractNum w:abstractNumId="97">
    <w:nsid w:val="5551B9F3"/>
    <w:multiLevelType w:val="hybridMultilevel"/>
    <w:lvl w:ilvl="0">
      <w:lvlJc w:val="left"/>
      <w:lvlText w:val="%1"/>
      <w:numFmt w:val="decimal"/>
      <w:start w:val="1"/>
    </w:lvl>
    <w:lvl w:ilvl="1">
      <w:lvlJc w:val="left"/>
      <w:lvlText w:val="(%2)"/>
      <w:numFmt w:val="lowerLetter"/>
      <w:start w:val="2"/>
    </w:lvl>
  </w:abstractNum>
  <w:abstractNum w:abstractNumId="98">
    <w:nsid w:val="24F6AB8E"/>
    <w:multiLevelType w:val="hybridMultilevel"/>
    <w:lvl w:ilvl="0">
      <w:lvlJc w:val="left"/>
      <w:lvlText w:val="%1."/>
      <w:numFmt w:val="decimal"/>
      <w:start w:val="10"/>
    </w:lvl>
    <w:lvl w:ilvl="1">
      <w:lvlJc w:val="left"/>
      <w:lvlText w:val="%2"/>
      <w:numFmt w:val="lowerLetter"/>
      <w:start w:val="1"/>
    </w:lvl>
  </w:abstractNum>
  <w:abstractNum w:abstractNumId="99">
    <w:nsid w:val="634C574C"/>
    <w:multiLevelType w:val="hybridMultilevel"/>
    <w:lvl w:ilvl="0">
      <w:lvlJc w:val="left"/>
      <w:lvlText w:val="%1."/>
      <w:numFmt w:val="decimal"/>
      <w:start w:val="12"/>
    </w:lvl>
  </w:abstractNum>
  <w:abstractNum w:abstractNumId="100">
    <w:nsid w:val="24E99DD7"/>
    <w:multiLevelType w:val="hybridMultilevel"/>
    <w:lvl w:ilvl="0">
      <w:lvlJc w:val="left"/>
      <w:lvlText w:val="%1."/>
      <w:numFmt w:val="decimal"/>
      <w:start w:val="1"/>
    </w:lvl>
  </w:abstractNum>
  <w:abstractNum w:abstractNumId="101">
    <w:nsid w:val="2A31B62D"/>
    <w:multiLevelType w:val="hybridMultilevel"/>
    <w:lvl w:ilvl="0">
      <w:lvlJc w:val="left"/>
      <w:lvlText w:val="(%1)"/>
      <w:numFmt w:val="lowerLetter"/>
      <w:start w:val="1"/>
    </w:lvl>
  </w:abstractNum>
  <w:abstractNum w:abstractNumId="102">
    <w:nsid w:val="1849C29B"/>
    <w:multiLevelType w:val="hybridMultilevel"/>
    <w:lvl w:ilvl="0">
      <w:lvlJc w:val="left"/>
      <w:lvlText w:val="(%1)"/>
      <w:numFmt w:val="lowerLetter"/>
      <w:start w:val="3"/>
    </w:lvl>
    <w:lvl w:ilvl="1">
      <w:lvlJc w:val="left"/>
      <w:lvlText w:val="(%2)"/>
      <w:numFmt w:val="lowerRoman"/>
      <w:start w:val="1"/>
    </w:lvl>
  </w:abstractNum>
  <w:abstractNum w:abstractNumId="103">
    <w:nsid w:val="7DFF9D09"/>
    <w:multiLevelType w:val="hybridMultilevel"/>
    <w:lvl w:ilvl="0">
      <w:lvlJc w:val="left"/>
      <w:lvlText w:val="%1"/>
      <w:numFmt w:val="decimal"/>
      <w:start w:val="1"/>
    </w:lvl>
    <w:lvl w:ilvl="1">
      <w:lvlJc w:val="left"/>
      <w:lvlText w:val="(%2)"/>
      <w:numFmt w:val="lowerLetter"/>
      <w:start w:val="9"/>
    </w:lvl>
  </w:abstractNum>
  <w:abstractNum w:abstractNumId="104">
    <w:nsid w:val="754342"/>
    <w:multiLevelType w:val="hybridMultilevel"/>
    <w:lvl w:ilvl="0">
      <w:lvlJc w:val="left"/>
      <w:lvlText w:val="%1."/>
      <w:numFmt w:val="decimal"/>
      <w:start w:val="2"/>
    </w:lvl>
    <w:lvl w:ilvl="1">
      <w:lvlJc w:val="left"/>
      <w:lvlText w:val="(%2)"/>
      <w:numFmt w:val="lowerLetter"/>
      <w:start w:val="1"/>
    </w:lvl>
  </w:abstractNum>
  <w:abstractNum w:abstractNumId="105">
    <w:nsid w:val="69E7F3E5"/>
    <w:multiLevelType w:val="hybridMultilevel"/>
    <w:lvl w:ilvl="0">
      <w:lvlJc w:val="left"/>
      <w:lvlText w:val="%1"/>
      <w:numFmt w:val="decimal"/>
      <w:start w:val="1"/>
    </w:lvl>
    <w:lvl w:ilvl="1">
      <w:lvlJc w:val="left"/>
      <w:lvlText w:val="(%2)"/>
      <w:numFmt w:val="lowerLetter"/>
      <w:start w:val="4"/>
    </w:lvl>
  </w:abstractNum>
  <w:abstractNum w:abstractNumId="106">
    <w:nsid w:val="2A6DE806"/>
    <w:multiLevelType w:val="hybridMultilevel"/>
    <w:lvl w:ilvl="0">
      <w:lvlJc w:val="left"/>
      <w:lvlText w:val="%1."/>
      <w:numFmt w:val="decimal"/>
      <w:start w:val="5"/>
    </w:lvl>
    <w:lvl w:ilvl="1">
      <w:lvlJc w:val="left"/>
      <w:lvlText w:val="%2"/>
      <w:numFmt w:val="lowerLetter"/>
      <w:start w:val="1"/>
    </w:lvl>
  </w:abstractNum>
  <w:abstractNum w:abstractNumId="107">
    <w:nsid w:val="1816F8C4"/>
    <w:multiLevelType w:val="hybridMultilevel"/>
    <w:lvl w:ilvl="0">
      <w:lvlJc w:val="left"/>
      <w:lvlText w:val="%1."/>
      <w:numFmt w:val="decimal"/>
      <w:start w:val="6"/>
    </w:lvl>
    <w:lvl w:ilvl="1">
      <w:lvlJc w:val="left"/>
      <w:lvlText w:val="(%2)"/>
      <w:numFmt w:val="lowerLetter"/>
      <w:start w:val="1"/>
    </w:lvl>
  </w:abstractNum>
  <w:abstractNum w:abstractNumId="108">
    <w:nsid w:val="37DF2233"/>
    <w:multiLevelType w:val="hybridMultilevel"/>
    <w:lvl w:ilvl="0">
      <w:lvlJc w:val="left"/>
      <w:lvlText w:val="%1"/>
      <w:numFmt w:val="decimal"/>
      <w:start w:val="1"/>
    </w:lvl>
    <w:lvl w:ilvl="1">
      <w:lvlJc w:val="left"/>
      <w:lvlText w:val="(%2)"/>
      <w:numFmt w:val="lowerLetter"/>
      <w:start w:val="5"/>
    </w:lvl>
  </w:abstractNum>
  <w:abstractNum w:abstractNumId="109">
    <w:nsid w:val="7AB49DAF"/>
    <w:multiLevelType w:val="hybridMultilevel"/>
    <w:lvl w:ilvl="0">
      <w:lvlJc w:val="left"/>
      <w:lvlText w:val="%1."/>
      <w:numFmt w:val="decimal"/>
      <w:start w:val="7"/>
    </w:lvl>
    <w:lvl w:ilvl="1">
      <w:lvlJc w:val="left"/>
      <w:lvlText w:val="(%2)"/>
      <w:numFmt w:val="lowerLetter"/>
      <w:start w:val="1"/>
    </w:lvl>
  </w:abstractNum>
  <w:abstractNum w:abstractNumId="110">
    <w:nsid w:val="759F82CD"/>
    <w:multiLevelType w:val="hybridMultilevel"/>
    <w:lvl w:ilvl="0">
      <w:lvlJc w:val="left"/>
      <w:lvlText w:val="%1"/>
      <w:numFmt w:val="decimal"/>
      <w:start w:val="1"/>
    </w:lvl>
    <w:lvl w:ilvl="1">
      <w:lvlJc w:val="left"/>
      <w:lvlText w:val="(%2)"/>
      <w:numFmt w:val="lowerLetter"/>
      <w:start w:val="2"/>
    </w:lvl>
  </w:abstractNum>
  <w:abstractNum w:abstractNumId="111">
    <w:nsid w:val="61E74EA3"/>
    <w:multiLevelType w:val="hybridMultilevel"/>
    <w:lvl w:ilvl="0">
      <w:lvlJc w:val="left"/>
      <w:lvlText w:val="%1."/>
      <w:numFmt w:val="decimal"/>
      <w:start w:val="10"/>
    </w:lvl>
    <w:lvl w:ilvl="1">
      <w:lvlJc w:val="left"/>
      <w:lvlText w:val="%2"/>
      <w:numFmt w:val="lowerLetter"/>
      <w:start w:val="1"/>
    </w:lvl>
  </w:abstractNum>
  <w:abstractNum w:abstractNumId="112">
    <w:nsid w:val="597B4D84"/>
    <w:multiLevelType w:val="hybridMultilevel"/>
    <w:lvl w:ilvl="0">
      <w:lvlJc w:val="left"/>
      <w:lvlText w:val="%1."/>
      <w:numFmt w:val="decimal"/>
      <w:start w:val="12"/>
    </w:lvl>
  </w:abstractNum>
  <w:abstractNum w:abstractNumId="113">
    <w:nsid w:val="F819E7F"/>
    <w:multiLevelType w:val="hybridMultilevel"/>
    <w:lvl w:ilvl="0">
      <w:lvlJc w:val="left"/>
      <w:lvlText w:val="%1."/>
      <w:numFmt w:val="decimal"/>
      <w:start w:val="1"/>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3"/>
    </w:lvl>
    <w:lvl w:ilvl="1">
      <w:lvlJc w:val="left"/>
      <w:lvlText w:val="(%2)"/>
      <w:numFmt w:val="lowerRoman"/>
      <w:start w:val="1"/>
    </w:lvl>
  </w:abstractNum>
  <w:abstractNum w:abstractNumId="116">
    <w:nsid w:val="631B64D4"/>
    <w:multiLevelType w:val="hybridMultilevel"/>
    <w:lvl w:ilvl="0">
      <w:lvlJc w:val="left"/>
      <w:lvlText w:val="(%1)"/>
      <w:numFmt w:val="lowerLetter"/>
      <w:start w:val="6"/>
    </w:lvl>
  </w:abstractNum>
  <w:abstractNum w:abstractNumId="117">
    <w:nsid w:val="78B5E776"/>
    <w:multiLevelType w:val="hybridMultilevel"/>
    <w:lvl w:ilvl="0">
      <w:lvlJc w:val="left"/>
      <w:lvlText w:val="%1."/>
      <w:numFmt w:val="decimal"/>
      <w:start w:val="2"/>
    </w:lvl>
    <w:lvl w:ilvl="1">
      <w:lvlJc w:val="left"/>
      <w:lvlText w:val="(%2)"/>
      <w:numFmt w:val="lowerLetter"/>
      <w:start w:val="1"/>
    </w:lvl>
  </w:abstractNum>
  <w:abstractNum w:abstractNumId="118">
    <w:nsid w:val="75486E47"/>
    <w:multiLevelType w:val="hybridMultilevel"/>
    <w:lvl w:ilvl="0">
      <w:lvlJc w:val="left"/>
      <w:lvlText w:val="%1."/>
      <w:numFmt w:val="decimal"/>
      <w:start w:val="6"/>
    </w:lvl>
    <w:lvl w:ilvl="1">
      <w:lvlJc w:val="left"/>
      <w:lvlText w:val="(%2)"/>
      <w:numFmt w:val="lowerLetter"/>
      <w:start w:val="1"/>
    </w:lvl>
  </w:abstractNum>
  <w:abstractNum w:abstractNumId="119">
    <w:nsid w:val="6E534CDE"/>
    <w:multiLevelType w:val="hybridMultilevel"/>
    <w:lvl w:ilvl="0">
      <w:lvlJc w:val="left"/>
      <w:lvlText w:val="%1"/>
      <w:numFmt w:val="decimal"/>
      <w:start w:val="1"/>
    </w:lvl>
    <w:lvl w:ilvl="1">
      <w:lvlJc w:val="left"/>
      <w:lvlText w:val="(%2)"/>
      <w:numFmt w:val="lowerLetter"/>
      <w:start w:val="5"/>
    </w:lvl>
  </w:abstractNum>
  <w:abstractNum w:abstractNumId="120">
    <w:nsid w:val="1A0DDE32"/>
    <w:multiLevelType w:val="hybridMultilevel"/>
    <w:lvl w:ilvl="0">
      <w:lvlJc w:val="left"/>
      <w:lvlText w:val="%1."/>
      <w:numFmt w:val="decimal"/>
      <w:start w:val="7"/>
    </w:lvl>
    <w:lvl w:ilvl="1">
      <w:lvlJc w:val="left"/>
      <w:lvlText w:val="(%2)"/>
      <w:numFmt w:val="lowerLetter"/>
      <w:start w:val="1"/>
    </w:lvl>
  </w:abstractNum>
  <w:abstractNum w:abstractNumId="121">
    <w:nsid w:val="65968C1C"/>
    <w:multiLevelType w:val="hybridMultilevel"/>
    <w:lvl w:ilvl="0">
      <w:lvlJc w:val="left"/>
      <w:lvlText w:val="%1"/>
      <w:numFmt w:val="decimal"/>
      <w:start w:val="1"/>
    </w:lvl>
    <w:lvl w:ilvl="1">
      <w:lvlJc w:val="left"/>
      <w:lvlText w:val="(%2)"/>
      <w:numFmt w:val="lowerLetter"/>
      <w:start w:val="2"/>
    </w:lvl>
  </w:abstractNum>
  <w:abstractNum w:abstractNumId="122">
    <w:nsid w:val="46263DEC"/>
    <w:multiLevelType w:val="hybridMultilevel"/>
    <w:lvl w:ilvl="0">
      <w:lvlJc w:val="left"/>
      <w:lvlText w:val="%1."/>
      <w:numFmt w:val="decimal"/>
      <w:start w:val="10"/>
    </w:lvl>
    <w:lvl w:ilvl="1">
      <w:lvlJc w:val="left"/>
      <w:lvlText w:val="%2"/>
      <w:numFmt w:val="lowerLetter"/>
      <w:start w:val="1"/>
    </w:lvl>
  </w:abstractNum>
  <w:abstractNum w:abstractNumId="123">
    <w:nsid w:val="260D8C4A"/>
    <w:multiLevelType w:val="hybridMultilevel"/>
    <w:lvl w:ilvl="0">
      <w:lvlJc w:val="left"/>
      <w:lvlText w:val="%1."/>
      <w:numFmt w:val="decimal"/>
      <w:start w:val="14"/>
    </w:lvl>
  </w:abstractNum>
  <w:abstractNum w:abstractNumId="124">
    <w:nsid w:val="73D4D3C4"/>
    <w:multiLevelType w:val="hybridMultilevel"/>
    <w:lvl w:ilvl="0">
      <w:lvlJc w:val="left"/>
      <w:lvlText w:val="%1."/>
      <w:numFmt w:val="decimal"/>
      <w:start w:val="1"/>
    </w:lvl>
  </w:abstractNum>
  <w:abstractNum w:abstractNumId="125">
    <w:nsid w:val="746F2E30"/>
    <w:multiLevelType w:val="hybridMultilevel"/>
    <w:lvl w:ilvl="0">
      <w:lvlJc w:val="left"/>
      <w:lvlText w:val="(%1)"/>
      <w:numFmt w:val="lowerLetter"/>
      <w:start w:val="1"/>
    </w:lvl>
  </w:abstractNum>
  <w:abstractNum w:abstractNumId="126">
    <w:nsid w:val="6FDE8AF6"/>
    <w:multiLevelType w:val="hybridMultilevel"/>
    <w:lvl w:ilvl="0">
      <w:lvlJc w:val="left"/>
      <w:lvlText w:val="(%1)"/>
      <w:numFmt w:val="lowerLetter"/>
      <w:start w:val="3"/>
    </w:lvl>
    <w:lvl w:ilvl="1">
      <w:lvlJc w:val="left"/>
      <w:lvlText w:val="(%2)"/>
      <w:numFmt w:val="lowerRoman"/>
      <w:start w:val="1"/>
    </w:lvl>
  </w:abstractNum>
  <w:abstractNum w:abstractNumId="127">
    <w:nsid w:val="3FC32E20"/>
    <w:multiLevelType w:val="hybridMultilevel"/>
    <w:lvl w:ilvl="0">
      <w:lvlJc w:val="left"/>
      <w:lvlText w:val="%1"/>
      <w:numFmt w:val="decimal"/>
      <w:start w:val="1"/>
    </w:lvl>
    <w:lvl w:ilvl="1">
      <w:lvlJc w:val="left"/>
      <w:lvlText w:val="(%2)"/>
      <w:numFmt w:val="lowerLetter"/>
      <w:start w:val="6"/>
    </w:lvl>
  </w:abstractNum>
  <w:abstractNum w:abstractNumId="128">
    <w:nsid w:val="49C0E823"/>
    <w:multiLevelType w:val="hybridMultilevel"/>
    <w:lvl w:ilvl="0">
      <w:lvlJc w:val="left"/>
      <w:lvlText w:val="%1."/>
      <w:numFmt w:val="decimal"/>
      <w:start w:val="2"/>
    </w:lvl>
    <w:lvl w:ilvl="1">
      <w:lvlJc w:val="left"/>
      <w:lvlText w:val="%2"/>
      <w:numFmt w:val="lowerLetter"/>
      <w:start w:val="1"/>
    </w:lvl>
  </w:abstractNum>
  <w:abstractNum w:abstractNumId="129">
    <w:nsid w:val="14D53685"/>
    <w:multiLevelType w:val="hybridMultilevel"/>
    <w:lvl w:ilvl="0">
      <w:lvlJc w:val="left"/>
      <w:lvlText w:val="(%1)"/>
      <w:numFmt w:val="decimal"/>
      <w:start w:val="60"/>
    </w:lvl>
    <w:lvl w:ilvl="1">
      <w:lvlJc w:val="left"/>
      <w:lvlText w:val="%2."/>
      <w:numFmt w:val="decimal"/>
      <w:start w:val="4"/>
    </w:lvl>
    <w:lvl w:ilvl="2">
      <w:lvlJc w:val="left"/>
      <w:lvlText w:val="(%3)"/>
      <w:numFmt w:val="lowerLetter"/>
      <w:start w:val="1"/>
    </w:lvl>
  </w:abstractNum>
  <w:abstractNum w:abstractNumId="130">
    <w:nsid w:val="230F856C"/>
    <w:multiLevelType w:val="hybridMultilevel"/>
    <w:lvl w:ilvl="0">
      <w:lvlJc w:val="left"/>
      <w:lvlText w:val="%1."/>
      <w:numFmt w:val="decimal"/>
      <w:start w:val="6"/>
    </w:lvl>
    <w:lvl w:ilvl="1">
      <w:lvlJc w:val="left"/>
      <w:lvlText w:val="(%2)"/>
      <w:numFmt w:val="lowerLetter"/>
      <w:start w:val="1"/>
    </w:lvl>
  </w:abstractNum>
  <w:abstractNum w:abstractNumId="131">
    <w:nsid w:val="6EAA85FB"/>
    <w:multiLevelType w:val="hybridMultilevel"/>
    <w:lvl w:ilvl="0">
      <w:lvlJc w:val="left"/>
      <w:lvlText w:val="%1"/>
      <w:numFmt w:val="decimal"/>
      <w:start w:val="1"/>
    </w:lvl>
    <w:lvl w:ilvl="1">
      <w:lvlJc w:val="left"/>
      <w:lvlText w:val="(%2)"/>
      <w:numFmt w:val="lowerLetter"/>
      <w:start w:val="6"/>
    </w:lvl>
  </w:abstractNum>
  <w:abstractNum w:abstractNumId="132">
    <w:nsid w:val="3F06ECB2"/>
    <w:multiLevelType w:val="hybridMultilevel"/>
    <w:lvl w:ilvl="0">
      <w:lvlJc w:val="left"/>
      <w:lvlText w:val="%1."/>
      <w:numFmt w:val="decimal"/>
      <w:start w:val="7"/>
    </w:lvl>
    <w:lvl w:ilvl="1">
      <w:lvlJc w:val="left"/>
      <w:lvlText w:val="(%2)"/>
      <w:numFmt w:val="lowerLetter"/>
      <w:start w:val="1"/>
    </w:lvl>
  </w:abstractNum>
  <w:abstractNum w:abstractNumId="133">
    <w:nsid w:val="3B594807"/>
    <w:multiLevelType w:val="hybridMultilevel"/>
    <w:lvl w:ilvl="0">
      <w:lvlJc w:val="left"/>
      <w:lvlText w:val="%1"/>
      <w:numFmt w:val="decimal"/>
      <w:start w:val="1"/>
    </w:lvl>
    <w:lvl w:ilvl="1">
      <w:lvlJc w:val="left"/>
      <w:lvlText w:val="(%2)"/>
      <w:numFmt w:val="lowerLetter"/>
      <w:start w:val="2"/>
    </w:lvl>
  </w:abstractNum>
  <w:abstractNum w:abstractNumId="134">
    <w:nsid w:val="6CAA2304"/>
    <w:multiLevelType w:val="hybridMultilevel"/>
    <w:lvl w:ilvl="0">
      <w:lvlJc w:val="left"/>
      <w:lvlText w:val="%1."/>
      <w:numFmt w:val="decimal"/>
      <w:start w:val="10"/>
    </w:lvl>
    <w:lvl w:ilvl="1">
      <w:lvlJc w:val="left"/>
      <w:lvlText w:val="%2"/>
      <w:numFmt w:val="lowerLetter"/>
      <w:start w:val="1"/>
    </w:lvl>
  </w:abstractNum>
  <w:abstractNum w:abstractNumId="135">
    <w:nsid w:val="3F7C2FF4"/>
    <w:multiLevelType w:val="hybridMultilevel"/>
    <w:lvl w:ilvl="0">
      <w:lvlJc w:val="left"/>
      <w:lvlText w:val="%1."/>
      <w:numFmt w:val="decimal"/>
      <w:start w:val="16"/>
    </w:lvl>
  </w:abstractNum>
  <w:abstractNum w:abstractNumId="136">
    <w:nsid w:val="25413BEC"/>
    <w:multiLevelType w:val="hybridMultilevel"/>
    <w:lvl w:ilvl="0">
      <w:lvlJc w:val="left"/>
      <w:lvlText w:val="%1."/>
      <w:numFmt w:val="decimal"/>
      <w:start w:val="1"/>
    </w:lvl>
  </w:abstractNum>
  <w:abstractNum w:abstractNumId="137">
    <w:nsid w:val="17180B0B"/>
    <w:multiLevelType w:val="hybridMultilevel"/>
    <w:lvl w:ilvl="0">
      <w:lvlJc w:val="left"/>
      <w:lvlText w:val="%1"/>
      <w:numFmt w:val="upperLetter"/>
      <w:start w:val="1"/>
    </w:lvl>
    <w:lvl w:ilvl="1">
      <w:lvlJc w:val="left"/>
      <w:lvlText w:val="(%2)"/>
      <w:numFmt w:val="lowerLetter"/>
      <w:start w:val="1"/>
    </w:lvl>
  </w:abstractNum>
  <w:abstractNum w:abstractNumId="138">
    <w:nsid w:val="579328B9"/>
    <w:multiLevelType w:val="hybridMultilevel"/>
    <w:lvl w:ilvl="0">
      <w:lvlJc w:val="left"/>
      <w:lvlText w:val="(%1)"/>
      <w:numFmt w:val="upperLetter"/>
      <w:start w:val="1"/>
    </w:lvl>
    <w:lvl w:ilvl="1">
      <w:lvlJc w:val="left"/>
      <w:lvlText w:val="%2"/>
      <w:numFmt w:val="lowerLetter"/>
      <w:start w:val="1"/>
    </w:lvl>
  </w:abstractNum>
  <w:abstractNum w:abstractNumId="139">
    <w:nsid w:val="5D205E20"/>
    <w:multiLevelType w:val="hybridMultilevel"/>
    <w:lvl w:ilvl="0">
      <w:lvlJc w:val="left"/>
      <w:lvlText w:val="(%1)"/>
      <w:numFmt w:val="upperLetter"/>
      <w:start w:val="3"/>
    </w:lvl>
  </w:abstractNum>
  <w:abstractNum w:abstractNumId="140">
    <w:nsid w:val="11CCA8BA"/>
    <w:multiLevelType w:val="hybridMultilevel"/>
    <w:lvl w:ilvl="0">
      <w:lvlJc w:val="left"/>
      <w:lvlText w:val="(%1)"/>
      <w:numFmt w:val="lowerLetter"/>
      <w:start w:val="3"/>
    </w:lvl>
    <w:lvl w:ilvl="1">
      <w:lvlJc w:val="left"/>
      <w:lvlText w:val="(%2)"/>
      <w:numFmt w:val="lowerRoman"/>
      <w:start w:val="1"/>
    </w:lvl>
  </w:abstractNum>
  <w:abstractNum w:abstractNumId="141">
    <w:nsid w:val="4D32AB86"/>
    <w:multiLevelType w:val="hybridMultilevel"/>
    <w:lvl w:ilvl="0">
      <w:lvlJc w:val="left"/>
      <w:lvlText w:val="(%1)"/>
      <w:numFmt w:val="lowerLetter"/>
      <w:start w:val="4"/>
    </w:lvl>
  </w:abstractNum>
  <w:abstractNum w:abstractNumId="142">
    <w:nsid w:val="3F07ACC3"/>
    <w:multiLevelType w:val="hybridMultilevel"/>
    <w:lvl w:ilvl="0">
      <w:lvlJc w:val="left"/>
      <w:lvlText w:val="%1"/>
      <w:numFmt w:val="decimal"/>
      <w:start w:val="1"/>
    </w:lvl>
    <w:lvl w:ilvl="1">
      <w:lvlJc w:val="left"/>
      <w:lvlText w:val="(%2)"/>
      <w:numFmt w:val="lowerLetter"/>
      <w:start w:val="8"/>
    </w:lvl>
  </w:abstractNum>
  <w:abstractNum w:abstractNumId="143">
    <w:nsid w:val="6B47F63E"/>
    <w:multiLevelType w:val="hybridMultilevel"/>
    <w:lvl w:ilvl="0">
      <w:lvlJc w:val="left"/>
      <w:lvlText w:val="%1."/>
      <w:numFmt w:val="decimal"/>
      <w:start w:val="2"/>
    </w:lvl>
    <w:lvl w:ilvl="1">
      <w:lvlJc w:val="left"/>
      <w:lvlText w:val="(%2)"/>
      <w:numFmt w:val="lowerLetter"/>
      <w:start w:val="1"/>
    </w:lvl>
  </w:abstractNum>
  <w:abstractNum w:abstractNumId="144">
    <w:nsid w:val="5CB44A05"/>
    <w:multiLevelType w:val="hybridMultilevel"/>
    <w:lvl w:ilvl="0">
      <w:lvlJc w:val="left"/>
      <w:lvlText w:val="(%1)"/>
      <w:numFmt w:val="lowerLetter"/>
      <w:start w:val="3"/>
    </w:lvl>
  </w:abstractNum>
  <w:abstractNum w:abstractNumId="145">
    <w:nsid w:val="16CF80F1"/>
    <w:multiLevelType w:val="hybridMultilevel"/>
    <w:lvl w:ilvl="0">
      <w:lvlJc w:val="left"/>
      <w:lvlText w:val="%1."/>
      <w:numFmt w:val="decimal"/>
      <w:start w:val="5"/>
    </w:lvl>
  </w:abstractNum>
  <w:abstractNum w:abstractNumId="146">
    <w:nsid w:val="1C695DEC"/>
    <w:multiLevelType w:val="hybridMultilevel"/>
    <w:lvl w:ilvl="0">
      <w:lvlJc w:val="left"/>
      <w:lvlText w:val="%1."/>
      <w:numFmt w:val="decimal"/>
      <w:start w:val="6"/>
    </w:lvl>
    <w:lvl w:ilvl="1">
      <w:lvlJc w:val="left"/>
      <w:lvlText w:val="(%2)"/>
      <w:numFmt w:val="lowerLetter"/>
      <w:start w:val="1"/>
    </w:lvl>
  </w:abstractNum>
  <w:abstractNum w:abstractNumId="147">
    <w:nsid w:val="3FCFAED9"/>
    <w:multiLevelType w:val="hybridMultilevel"/>
    <w:lvl w:ilvl="0">
      <w:lvlJc w:val="left"/>
      <w:lvlText w:val="%1"/>
      <w:numFmt w:val="decimal"/>
      <w:start w:val="1"/>
    </w:lvl>
    <w:lvl w:ilvl="1">
      <w:lvlJc w:val="left"/>
      <w:lvlText w:val="(%2)"/>
      <w:numFmt w:val="lowerLetter"/>
      <w:start w:val="3"/>
    </w:lvl>
  </w:abstractNum>
  <w:abstractNum w:abstractNumId="148">
    <w:nsid w:val="F856867"/>
    <w:multiLevelType w:val="hybridMultilevel"/>
    <w:lvl w:ilvl="0">
      <w:lvlJc w:val="left"/>
      <w:lvlText w:val="%1."/>
      <w:numFmt w:val="decimal"/>
      <w:start w:val="7"/>
    </w:lvl>
    <w:lvl w:ilvl="1">
      <w:lvlJc w:val="left"/>
      <w:lvlText w:val="(%2)"/>
      <w:numFmt w:val="lowerLetter"/>
      <w:start w:val="1"/>
    </w:lvl>
  </w:abstractNum>
  <w:abstractNum w:abstractNumId="149">
    <w:nsid w:val="11B1CC33"/>
    <w:multiLevelType w:val="hybridMultilevel"/>
    <w:lvl w:ilvl="0">
      <w:lvlJc w:val="left"/>
      <w:lvlText w:val="%1"/>
      <w:numFmt w:val="decimal"/>
      <w:start w:val="1"/>
    </w:lvl>
    <w:lvl w:ilvl="1">
      <w:lvlJc w:val="left"/>
      <w:lvlText w:val="(%2)"/>
      <w:numFmt w:val="lowerLetter"/>
      <w:start w:val="2"/>
    </w:lvl>
  </w:abstractNum>
  <w:abstractNum w:abstractNumId="150">
    <w:nsid w:val="2E22FBB7"/>
    <w:multiLevelType w:val="hybridMultilevel"/>
    <w:lvl w:ilvl="0">
      <w:lvlJc w:val="left"/>
      <w:lvlText w:val="%1."/>
      <w:numFmt w:val="decimal"/>
      <w:start w:val="10"/>
    </w:lvl>
    <w:lvl w:ilvl="1">
      <w:lvlJc w:val="left"/>
      <w:lvlText w:val="%2"/>
      <w:numFmt w:val="lowerLetter"/>
      <w:start w:val="1"/>
    </w:lvl>
  </w:abstractNum>
  <w:abstractNum w:abstractNumId="151">
    <w:nsid w:val="29934699"/>
    <w:multiLevelType w:val="hybridMultilevel"/>
    <w:lvl w:ilvl="0">
      <w:lvlJc w:val="left"/>
      <w:lvlText w:val="%1."/>
      <w:numFmt w:val="decimal"/>
      <w:start w:val="11"/>
    </w:lvl>
  </w:abstractNum>
  <w:abstractNum w:abstractNumId="152">
    <w:nsid w:val="77485850"/>
    <w:multiLevelType w:val="hybridMultilevel"/>
    <w:lvl w:ilvl="0">
      <w:lvlJc w:val="left"/>
      <w:lvlText w:val="%1."/>
      <w:numFmt w:val="upperLetter"/>
      <w:start w:val="1"/>
    </w:lvl>
  </w:abstractNum>
  <w:abstractNum w:abstractNumId="153">
    <w:nsid w:val="744939A3"/>
    <w:multiLevelType w:val="hybridMultilevel"/>
    <w:lvl w:ilvl="0">
      <w:lvlJc w:val="left"/>
      <w:lvlText w:val="%1."/>
      <w:numFmt w:val="upperLetter"/>
      <w:start w:val="2"/>
    </w:lvl>
  </w:abstractNum>
  <w:abstractNum w:abstractNumId="154">
    <w:nsid w:val="4FA0D2E3"/>
    <w:multiLevelType w:val="hybridMultilevel"/>
    <w:lvl w:ilvl="0">
      <w:lvlJc w:val="left"/>
      <w:lvlText w:val="%1."/>
      <w:numFmt w:val="upperLetter"/>
      <w:start w:val="4"/>
    </w:lvl>
    <w:lvl w:ilvl="1">
      <w:lvlJc w:val="left"/>
      <w:lvlText w:val="•"/>
      <w:numFmt w:val="bullet"/>
      <w:start w:val="1"/>
    </w:lvl>
  </w:abstractNum>
  <w:abstractNum w:abstractNumId="155">
    <w:nsid w:val="6B1D2C14"/>
    <w:multiLevelType w:val="hybridMultilevel"/>
    <w:lvl w:ilvl="0">
      <w:lvlJc w:val="left"/>
      <w:lvlText w:val="%1."/>
      <w:numFmt w:val="decimal"/>
      <w:start w:val="1"/>
    </w:lvl>
  </w:abstractNum>
  <w:abstractNum w:abstractNumId="156">
    <w:nsid w:val="68B867D3"/>
    <w:multiLevelType w:val="hybridMultilevel"/>
    <w:lvl w:ilvl="0">
      <w:lvlJc w:val="left"/>
      <w:lvlText w:val="•"/>
      <w:numFmt w:val="bullet"/>
      <w:start w:val="1"/>
    </w:lvl>
  </w:abstractNum>
  <w:abstractNum w:abstractNumId="157">
    <w:nsid w:val="3F7F5DD9"/>
    <w:multiLevelType w:val="hybridMultilevel"/>
    <w:lvl w:ilvl="0">
      <w:lvlJc w:val="left"/>
      <w:lvlText w:val="•"/>
      <w:numFmt w:val="bullet"/>
      <w:start w:val="1"/>
    </w:lvl>
  </w:abstractNum>
  <w:abstractNum w:abstractNumId="158">
    <w:nsid w:val="2AE05A34"/>
    <w:multiLevelType w:val="hybridMultilevel"/>
    <w:lvl w:ilvl="0">
      <w:lvlJc w:val="left"/>
      <w:lvlText w:val="%1"/>
      <w:numFmt w:val="upperLetter"/>
      <w:start w:val="1"/>
    </w:lvl>
    <w:lvl w:ilvl="1">
      <w:lvlJc w:val="left"/>
      <w:lvlText w:val="%2."/>
      <w:numFmt w:val="decimal"/>
      <w:start w:val="3"/>
    </w:lvl>
  </w:abstractNum>
  <w:abstractNum w:abstractNumId="159">
    <w:nsid w:val="32794FF7"/>
    <w:multiLevelType w:val="hybridMultilevel"/>
    <w:lvl w:ilvl="0">
      <w:lvlJc w:val="left"/>
      <w:lvlText w:val="%1."/>
      <w:numFmt w:val="upperLetter"/>
      <w:start w:val="1"/>
    </w:lvl>
    <w:lvl w:ilvl="1">
      <w:lvlJc w:val="left"/>
      <w:lvlText w:val="(%2)"/>
      <w:numFmt w:val="decimal"/>
      <w:start w:val="1"/>
    </w:lvl>
  </w:abstractNum>
  <w:abstractNum w:abstractNumId="160">
    <w:nsid w:val="5454945E"/>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61">
    <w:nsid w:val="4DEFDFA0"/>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62">
    <w:nsid w:val="2123D5F2"/>
    <w:multiLevelType w:val="hybridMultilevel"/>
    <w:lvl w:ilvl="0">
      <w:lvlJc w:val="left"/>
      <w:lvlText w:val="1"/>
      <w:numFmt w:val="bullet"/>
      <w:start w:val="1"/>
    </w:lvl>
  </w:abstractNum>
  <w:abstractNum w:abstractNumId="163">
    <w:nsid w:val="135B8110"/>
    <w:multiLevelType w:val="hybridMultilevel"/>
    <w:lvl w:ilvl="0">
      <w:lvlJc w:val="left"/>
      <w:lvlText w:val="(%1)"/>
      <w:numFmt w:val="decimal"/>
      <w:start w:val="5"/>
    </w:lvl>
  </w:abstractNum>
  <w:abstractNum w:abstractNumId="164">
    <w:nsid w:val="94927A8"/>
    <w:multiLevelType w:val="hybridMultilevel"/>
    <w:lvl w:ilvl="0">
      <w:lvlJc w:val="left"/>
      <w:lvlText w:val="%1."/>
      <w:numFmt w:val="upperLetter"/>
      <w:start w:val="4"/>
    </w:lvl>
  </w:abstractNum>
  <w:abstractNum w:abstractNumId="165">
    <w:nsid w:val="DCDF8F6"/>
    <w:multiLevelType w:val="hybridMultilevel"/>
    <w:lvl w:ilvl="0">
      <w:lvlJc w:val="left"/>
      <w:lvlText w:val="%1."/>
      <w:numFmt w:val="decimal"/>
      <w:start w:val="1"/>
    </w:lvl>
    <w:lvl w:ilvl="1">
      <w:lvlJc w:val="left"/>
      <w:lvlText w:val="%2)"/>
      <w:numFmt w:val="lowerLetter"/>
      <w:start w:val="1"/>
    </w:lvl>
  </w:abstractNum>
  <w:abstractNum w:abstractNumId="166">
    <w:nsid w:val="52D7B105"/>
    <w:multiLevelType w:val="hybridMultilevel"/>
    <w:lvl w:ilvl="0">
      <w:lvlJc w:val="left"/>
      <w:lvlText w:val="%1."/>
      <w:numFmt w:val="decimal"/>
      <w:start w:val="1"/>
    </w:lvl>
    <w:lvl w:ilvl="1">
      <w:lvlJc w:val="left"/>
      <w:lvlText w:val="%2)"/>
      <w:numFmt w:val="lowerLetter"/>
      <w:start w:val="1"/>
    </w:lvl>
  </w:abstractNum>
  <w:abstractNum w:abstractNumId="167">
    <w:nsid w:val="2E8A6394"/>
    <w:multiLevelType w:val="hybridMultilevel"/>
    <w:lvl w:ilvl="0">
      <w:lvlJc w:val="left"/>
      <w:lvlText w:val="(%1)"/>
      <w:numFmt w:val="decimal"/>
      <w:start w:val="1"/>
    </w:lvl>
  </w:abstractNum>
  <w:abstractNum w:abstractNumId="168">
    <w:nsid w:val="24E60401"/>
    <w:multiLevelType w:val="hybridMultilevel"/>
    <w:lvl w:ilvl="0">
      <w:lvlJc w:val="left"/>
      <w:lvlText w:val="(%1)"/>
      <w:numFmt w:val="decimal"/>
      <w:start w:val="1"/>
    </w:lvl>
  </w:abstractNum>
  <w:abstractNum w:abstractNumId="169">
    <w:nsid w:val="2A6AD9BE"/>
    <w:multiLevelType w:val="hybridMultilevel"/>
    <w:lvl w:ilvl="0">
      <w:lvlJc w:val="left"/>
      <w:lvlText w:val="%1."/>
      <w:numFmt w:val="upperLetter"/>
      <w:start w:val="1"/>
    </w:lvl>
  </w:abstractNum>
  <w:abstractNum w:abstractNumId="170">
    <w:nsid w:val="BAAC1B4"/>
    <w:multiLevelType w:val="hybridMultilevel"/>
    <w:lvl w:ilvl="0">
      <w:lvlJc w:val="left"/>
      <w:lvlText w:val="%1."/>
      <w:numFmt w:val="upperLetter"/>
      <w:start w:val="1"/>
    </w:lvl>
  </w:abstractNum>
  <w:abstractNum w:abstractNumId="171">
    <w:nsid w:val="36B2ACBC"/>
    <w:multiLevelType w:val="hybridMultilevel"/>
    <w:lvl w:ilvl="0">
      <w:lvlJc w:val="left"/>
      <w:lvlText w:val="%1"/>
      <w:numFmt w:val="decimal"/>
      <w:start w:val="1"/>
    </w:lvl>
    <w:lvl w:ilvl="1">
      <w:lvlJc w:val="left"/>
      <w:lvlText w:val="%2."/>
      <w:numFmt w:val="upperLetter"/>
      <w:start w:val="2"/>
    </w:lvl>
  </w:abstractNum>
  <w:abstractNum w:abstractNumId="172">
    <w:nsid w:val="779D8544"/>
    <w:multiLevelType w:val="hybridMultilevel"/>
    <w:lvl w:ilvl="0">
      <w:lvlJc w:val="left"/>
      <w:lvlText w:val="%1)"/>
      <w:numFmt w:val="decimal"/>
      <w:start w:val="2"/>
    </w:lvl>
    <w:lvl w:ilvl="1">
      <w:lvlJc w:val="left"/>
      <w:lvlText w:val="%2"/>
      <w:numFmt w:val="upperLetter"/>
      <w:start w:val="1"/>
    </w:lvl>
  </w:abstractNum>
  <w:abstractNum w:abstractNumId="173">
    <w:nsid w:val="4AB26E78"/>
    <w:multiLevelType w:val="hybridMultilevel"/>
    <w:lvl w:ilvl="0">
      <w:lvlJc w:val="left"/>
      <w:lvlText w:val="%1)"/>
      <w:numFmt w:val="decimal"/>
      <w:start w:val="3"/>
    </w:lvl>
  </w:abstractNum>
  <w:abstractNum w:abstractNumId="174">
    <w:nsid w:val="21FAA2FA"/>
    <w:multiLevelType w:val="hybridMultilevel"/>
    <w:lvl w:ilvl="0">
      <w:lvlJc w:val="left"/>
      <w:lvlText w:val="%1."/>
      <w:numFmt w:val="upperLetter"/>
      <w:start w:val="1"/>
    </w:lvl>
  </w:abstractNum>
  <w:abstractNum w:abstractNumId="175">
    <w:nsid w:val="5451CF49"/>
    <w:multiLevelType w:val="hybridMultilevel"/>
    <w:lvl w:ilvl="0">
      <w:lvlJc w:val="left"/>
      <w:lvlText w:val="%1."/>
      <w:numFmt w:val="upperLetter"/>
      <w:start w:val="5"/>
    </w:lvl>
  </w:abstractNum>
  <w:abstractNum w:abstractNumId="176">
    <w:nsid w:val="6181EF6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40" Type="http://schemas.openxmlformats.org/officeDocument/2006/relationships/image" Target="media/image100.png"/><Relationship Id="rId156"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166" Type="http://schemas.openxmlformats.org/officeDocument/2006/relationships/image" Target="media/image105.png"/><Relationship Id="rId167" Type="http://schemas.openxmlformats.org/officeDocument/2006/relationships/image" Target="media/image106.png"/><Relationship Id="rId168" Type="http://schemas.openxmlformats.org/officeDocument/2006/relationships/image" Target="media/image107.png"/><Relationship Id="rId169" Type="http://schemas.openxmlformats.org/officeDocument/2006/relationships/image" Target="media/image108.png"/><Relationship Id="rId170" Type="http://schemas.openxmlformats.org/officeDocument/2006/relationships/image" Target="media/image109.png"/><Relationship Id="rId171" Type="http://schemas.openxmlformats.org/officeDocument/2006/relationships/image" Target="media/image110.png"/><Relationship Id="rId172" Type="http://schemas.openxmlformats.org/officeDocument/2006/relationships/image" Target="media/image111.png"/><Relationship Id="rId173" Type="http://schemas.openxmlformats.org/officeDocument/2006/relationships/image" Target="media/image112.png"/><Relationship Id="rId174" Type="http://schemas.openxmlformats.org/officeDocument/2006/relationships/image" Target="media/image113.png"/><Relationship Id="rId175" Type="http://schemas.openxmlformats.org/officeDocument/2006/relationships/image" Target="media/image114.jpeg"/><Relationship Id="rId176" Type="http://schemas.openxmlformats.org/officeDocument/2006/relationships/image" Target="media/image115.jpe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05" Type="http://schemas.openxmlformats.org/officeDocument/2006/relationships/hyperlink" Target="https://www.sec.gov/Archives/edgar/data/1142750/000114275024000040/amn-ex31x20240331x10q.htm" TargetMode="External"/><Relationship Id="rId106" Type="http://schemas.openxmlformats.org/officeDocument/2006/relationships/hyperlink" Target="https://www.sec.gov/Archives/edgar/data/1142750/000114275025000058/exhibit3112112025.htm" TargetMode="External"/><Relationship Id="rId107" Type="http://schemas.openxmlformats.org/officeDocument/2006/relationships/hyperlink" Target="https://www.sec.gov/Archives/edgar/data/1142750/000119312510202383/dex31.htm" TargetMode="External"/><Relationship Id="rId108" Type="http://schemas.openxmlformats.org/officeDocument/2006/relationships/hyperlink" Target="https://www.sec.gov/Archives/edgar/data/1142750/000093639202000259/a78565ex4-1.txt" TargetMode="External"/><Relationship Id="rId109" Type="http://schemas.openxmlformats.org/officeDocument/2006/relationships/hyperlink" Target="https://www.sec.gov/Archives/edgar/data/1142750/000114275020000044/amn-ex41x20200930x10q.htm" TargetMode="External"/><Relationship Id="rId110" Type="http://schemas.openxmlformats.org/officeDocument/2006/relationships/hyperlink" Target="https://www.sec.gov/Archives/edgar/data/1142750/000095014225002687/eh250686864_ex0401.htm" TargetMode="External"/><Relationship Id="rId111" Type="http://schemas.openxmlformats.org/officeDocument/2006/relationships/hyperlink" Target="https://www.sec.gov/Archives/edgar/data/1142750/000114275023000006/amn-ex45x20221231x10k.htm" TargetMode="External"/><Relationship Id="rId112" Type="http://schemas.openxmlformats.org/officeDocument/2006/relationships/hyperlink" Target="https://www.sec.gov/Archives/edgar/data/1142750/000114275018000007/amn-ex41x20180331x10q.htm" TargetMode="External"/><Relationship Id="rId113" Type="http://schemas.openxmlformats.org/officeDocument/2006/relationships/hyperlink" Target="https://www.sec.gov/Archives/edgar/data/1142750/000114275019000027/amn-ex41x20190630x10q.htm" TargetMode="External"/><Relationship Id="rId114" Type="http://schemas.openxmlformats.org/officeDocument/2006/relationships/hyperlink" Target="https://www.sec.gov/Archives/edgar/data/1142750/000114275020000021/amn-ex41x20200331x10q.htm" TargetMode="External"/><Relationship Id="rId115" Type="http://schemas.openxmlformats.org/officeDocument/2006/relationships/hyperlink" Target="https://www.sec.gov/Archives/edgar/data/1142750/000114275023000011/amn-ex41x2023033110q.htm" TargetMode="External"/><Relationship Id="rId116" Type="http://schemas.openxmlformats.org/officeDocument/2006/relationships/hyperlink" Target="https://www.sec.gov/Archives/edgar/data/1142750/000114275024000061/amn-ex41x20240930x10q.htm" TargetMode="External"/><Relationship Id="rId117" Type="http://schemas.openxmlformats.org/officeDocument/2006/relationships/hyperlink" Target="https://www.sec.gov/Archives/edgar/data/1142750/000095014225002687/eh250686864_ex1001.htm" TargetMode="External"/><Relationship Id="rId118" Type="http://schemas.openxmlformats.org/officeDocument/2006/relationships/hyperlink" Target="https://www.sec.gov/Archives/edgar/data/1142750/000095012302004198/a80919orex10-45.txt" TargetMode="External"/><Relationship Id="rId119" Type="http://schemas.openxmlformats.org/officeDocument/2006/relationships/hyperlink" Target="https://www.sec.gov/Archives/edgar/data/1142750/000114275022000010/amn-ex105x20211231x10k.htm" TargetMode="External"/><Relationship Id="rId120" Type="http://schemas.openxmlformats.org/officeDocument/2006/relationships/hyperlink" Target="https://www.sec.gov/Archives/edgar/data/1142750/000114275022000010/amn-ex106x20211231x10k.htm" TargetMode="External"/><Relationship Id="rId121" Type="http://schemas.openxmlformats.org/officeDocument/2006/relationships/hyperlink" Target="https://www.sec.gov/Archives/edgar/data/1142750/000114275014000010/ex101sdlease_3rdamd.htm" TargetMode="External"/><Relationship Id="rId124" Type="http://schemas.openxmlformats.org/officeDocument/2006/relationships/hyperlink" Target="https://www.sec.gov/Archives/edgar/data/0001142750/000114275021000046/amn-ex101x20210930x10q.htm" TargetMode="External"/><Relationship Id="rId125" Type="http://schemas.openxmlformats.org/officeDocument/2006/relationships/hyperlink" Target="https://www.sec.gov/Archives/edgar/data/1142750/000114275022000010/amn-ex109x20211231x10k.htm" TargetMode="External"/><Relationship Id="rId126" Type="http://schemas.openxmlformats.org/officeDocument/2006/relationships/hyperlink" Target="https://www.sec.gov/Archives/edgar/data/1142750/000119312517137007/d380587dex101.htm" TargetMode="External"/><Relationship Id="rId127" Type="http://schemas.openxmlformats.org/officeDocument/2006/relationships/hyperlink" Target="https://www.sec.gov/Archives/edgar/data/1142750/000110465925044363/tm2513592d1_ex10-1.htm" TargetMode="External"/><Relationship Id="rId128" Type="http://schemas.openxmlformats.org/officeDocument/2006/relationships/hyperlink" Target="https://www.sec.gov/Archives/edgar/data/1142750/000114275022000027/amn-ex101x2022093010q.htm" TargetMode="External"/><Relationship Id="rId129" Type="http://schemas.openxmlformats.org/officeDocument/2006/relationships/hyperlink" Target="https://www.sec.gov/Archives/edgar/data/1142750/000119312506080362/dex995.htm" TargetMode="External"/><Relationship Id="rId130" Type="http://schemas.openxmlformats.org/officeDocument/2006/relationships/hyperlink" Target="https://www.sec.gov/Archives/edgar/data/1142750/000119312510112686/dex101.htm" TargetMode="External"/><Relationship Id="rId131" Type="http://schemas.openxmlformats.org/officeDocument/2006/relationships/hyperlink" Target="https://www.sec.gov/Archives/edgar/data/1142750/000119312512338139/d351750dex102.htm" TargetMode="External"/><Relationship Id="rId132" Type="http://schemas.openxmlformats.org/officeDocument/2006/relationships/hyperlink" Target="https://www.sec.gov/Archives/edgar/data/1142750/000114275014000007/ahs-ex102rsu_formx2014.htm" TargetMode="External"/><Relationship Id="rId133" Type="http://schemas.openxmlformats.org/officeDocument/2006/relationships/hyperlink" Target="https://www.sec.gov/Archives/edgar/data/1142750/000114275014000007/ahs-ex104bod_rsuxagreement.htm" TargetMode="External"/><Relationship Id="rId134" Type="http://schemas.openxmlformats.org/officeDocument/2006/relationships/hyperlink" Target="https://www.sec.gov/Archives/edgar/data/1142750/000114275018000007/amn-ex104x20180331x10q.htm" TargetMode="External"/><Relationship Id="rId135" Type="http://schemas.openxmlformats.org/officeDocument/2006/relationships/hyperlink" Target="https://www.sec.gov/Archives/edgar/data/1142750/000114275018000007/amn-ex105x20180331x10q.htm" TargetMode="External"/><Relationship Id="rId136" Type="http://schemas.openxmlformats.org/officeDocument/2006/relationships/hyperlink" Target="https://www.sec.gov/Archives/edgar/data/1142750/000114275019000021/amn-ex102x20190331x10q.htm" TargetMode="External"/><Relationship Id="rId137" Type="http://schemas.openxmlformats.org/officeDocument/2006/relationships/hyperlink" Target="https://www.sec.gov/Archives/edgar/data/1142750/000114275019000021/amn-ex104x20190331x10q.htm" TargetMode="External"/><Relationship Id="rId138" Type="http://schemas.openxmlformats.org/officeDocument/2006/relationships/hyperlink" Target="https://www.sec.gov/Archives/edgar/data/1142750/000119312517075810/d327129ddef14a.htm" TargetMode="External"/><Relationship Id="rId139" Type="http://schemas.openxmlformats.org/officeDocument/2006/relationships/hyperlink" Target="https://www.sec.gov/Archives/edgar/data/1142750/000114275022000014/amn-ex105x20220331x10q.htm" TargetMode="External"/><Relationship Id="rId141" Type="http://schemas.openxmlformats.org/officeDocument/2006/relationships/hyperlink" Target="https://www.sec.gov/Archives/edgar/data/1142750/000119312508230136/dex102.htm" TargetMode="External"/><Relationship Id="rId142" Type="http://schemas.openxmlformats.org/officeDocument/2006/relationships/hyperlink" Target="https://www.sec.gov/Archives/edgar/data/1142750/000119312510049037/dex1014.htm" TargetMode="External"/><Relationship Id="rId143" Type="http://schemas.openxmlformats.org/officeDocument/2006/relationships/hyperlink" Target="https://www.sec.gov/Archives/edgar/data/1142750/000114275025000011/amn-ex1028x20241231x10k.htm" TargetMode="External"/><Relationship Id="rId144" Type="http://schemas.openxmlformats.org/officeDocument/2006/relationships/hyperlink" Target="https://www.sec.gov/Archives/edgar/data/0001142750/000114275021000026/amn-ex102x20210331x10q.htm" TargetMode="External"/><Relationship Id="rId145" Type="http://schemas.openxmlformats.org/officeDocument/2006/relationships/hyperlink" Target="https://www.sec.gov/Archives/edgar/data/1142750/000114275023000006/amn-ex1052x2022123110k.htm" TargetMode="External"/><Relationship Id="rId146" Type="http://schemas.openxmlformats.org/officeDocument/2006/relationships/hyperlink" Target="https://www.sec.gov/Archives/edgar/data/1142750/000114275023000006/amn-ex1053x2022123110k.htm" TargetMode="External"/><Relationship Id="rId147" Type="http://schemas.openxmlformats.org/officeDocument/2006/relationships/hyperlink" Target="https://www.sec.gov/Archives/edgar/data/1142750/000114275023000006/amn-ex1054x2022123110k.htm" TargetMode="External"/><Relationship Id="rId148" Type="http://schemas.openxmlformats.org/officeDocument/2006/relationships/hyperlink" Target="https://www.sec.gov/Archives/edgar/data/1142750/000114275023000006/amn-ex1055x2022123110k.htm" TargetMode="External"/><Relationship Id="rId149" Type="http://schemas.openxmlformats.org/officeDocument/2006/relationships/hyperlink" Target="https://www.sec.gov/Archives/edgar/data/1142750/000114275020000021/amn-ex104x20200331x10q.htm" TargetMode="External"/><Relationship Id="rId150" Type="http://schemas.openxmlformats.org/officeDocument/2006/relationships/hyperlink" Target="https://www.sec.gov/Archives/edgar/data/1142750/000114275022000027/amn-ex102x2022093010q.htm" TargetMode="External"/><Relationship Id="rId151" Type="http://schemas.openxmlformats.org/officeDocument/2006/relationships/hyperlink" Target="https://www.sec.gov/Archives/edgar/data/1142750/000114275024000016/amn-ex1040x20231231x10k.htm" TargetMode="External"/><Relationship Id="rId152" Type="http://schemas.openxmlformats.org/officeDocument/2006/relationships/hyperlink" Target="https://www.sec.gov/Archives/edgar/data/1142750/000114275024000016/amn-ex1041x20231231x10k.htm" TargetMode="External"/><Relationship Id="rId153" Type="http://schemas.openxmlformats.org/officeDocument/2006/relationships/hyperlink" Target="https://www.sec.gov/Archives/edgar/data/1142750/000114275024000016/amn-ex1042x20231231x10k.htm" TargetMode="External"/><Relationship Id="rId154" Type="http://schemas.openxmlformats.org/officeDocument/2006/relationships/hyperlink" Target="https://www.sec.gov/Archives/edgar/data/1142750/000114275024000016/amn-ex1043x20231231x10k.htm" TargetMode="External"/><Relationship Id="rId155" Type="http://schemas.openxmlformats.org/officeDocument/2006/relationships/hyperlink" Target="https://www.sec.gov/Archives/edgar/data/1142750/000114275024000016/amn-ex1044x20231231x10k.htm" TargetMode="External"/><Relationship Id="rId157" Type="http://schemas.openxmlformats.org/officeDocument/2006/relationships/hyperlink" Target="https://www.sec.gov/Archives/edgar/data/1142750/000114275024000016/amn-ex1045x20231231x10k.htm" TargetMode="External"/><Relationship Id="rId158" Type="http://schemas.openxmlformats.org/officeDocument/2006/relationships/hyperlink" Target="https://www.sec.gov/Archives/edgar/data/1142750/000114275024000016/amn-ex1046x20231231x10k.htm" TargetMode="External"/><Relationship Id="rId159" Type="http://schemas.openxmlformats.org/officeDocument/2006/relationships/hyperlink" Target="https://www.sec.gov/Archives/edgar/data/1142750/000114275024000016/amn-ex1047x20231231x10k.htm" TargetMode="External"/><Relationship Id="rId160" Type="http://schemas.openxmlformats.org/officeDocument/2006/relationships/hyperlink" Target="https://www.sec.gov/Archives/edgar/data/1142750/000114275024000016/amn-ex1048x20231231x10k.htm" TargetMode="External"/><Relationship Id="rId161" Type="http://schemas.openxmlformats.org/officeDocument/2006/relationships/hyperlink" Target="https://www.sec.gov/Archives/edgar/data/1142750/000114275024000061/amn-ex101x20240930x10xq.htm" TargetMode="External"/><Relationship Id="rId162" Type="http://schemas.openxmlformats.org/officeDocument/2006/relationships/hyperlink" Target="https://www.sec.gov/Archives/edgar/data/1142750/000114275024000061/amn-ex102x20240930x10x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2026-02-20T05:21:12Z</dcterms:created>
  <dcterms:modified xsi:type="dcterms:W3CDTF">2026-02-20T05:21:12Z</dcterms:modified>
</cp:coreProperties>
</file>