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Trent-Adams Sylvia</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560"/>
        <w:spacing w:after="0" w:line="378" w:lineRule="auto"/>
        <w:rPr>
          <w:sz w:val="20"/>
          <w:szCs w:val="20"/>
          <w:color w:val="auto"/>
        </w:rPr>
      </w:pPr>
      <w:r>
        <w:rPr>
          <w:rFonts w:ascii="Times New Roman" w:cs="Times New Roman" w:eastAsia="Times New Roman" w:hAnsi="Times New Roman"/>
          <w:sz w:val="16"/>
          <w:szCs w:val="16"/>
          <w:color w:val="0000FF"/>
        </w:rPr>
        <w:t>C/O AMN HEALTHCARE SERVICES, INC. 12400 HIGH BLUFF DRIVE, SUITE 500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92130</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80" w:type="dxa"/>
            <w:vAlign w:val="bottom"/>
            <w:gridSpan w:val="3"/>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AMN HEALTHCARE SERVICES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4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AMN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8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1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9"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05/01/2026</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05/01/2026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9"/>
              </w:rPr>
              <w:t>8,325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16,797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8,325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05/01/2026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8,325</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8,304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05/01/2026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8,304</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8,304</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AMN Common Stock acquired on the vesting of Restricted Stock Units ("RSUs").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pursuant to the AMN Healthcare 2017 Equity Plan. Each RSU represents a contingent right to receive one share of AMN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identified in this row were granted on May 2, 2025 and vest on the earlier of (i) the one year anniversary of the grant date, or (ii) the date of the Company's Annual Meeting of Shareholders in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have an expiration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pursuant to the AMN Healthcare 2025 Equity Plan. Each RSU represents a contingent right to receive one share of AMN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identified in this row were granted on May 1, 2026 and vest on the earlier of (i) the one year anniversary of the grant date, or (ii) the date of the Company's Annual Meeting of Shareholders in 2027.</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Whitney M. Laughlin,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189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Sylvia Trent-Adams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859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6381" TargetMode="External"/><Relationship Id="rId14" Type="http://schemas.openxmlformats.org/officeDocument/2006/relationships/hyperlink" Target="http://www.sec.gov/cgi-bin/browse-edgar?action=getcompany&amp;CIK=0001142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2026-05-04T15:41:09Z</dcterms:created>
  <dcterms:modified xsi:type="dcterms:W3CDTF">2026-05-04T15:41:09Z</dcterms:modified>
</cp:coreProperties>
</file>